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BlauzungenV — Aufhebung angeordneter Maßnahmen</w:t>
      </w:r>
    </w:p>
    <w:p>
      <w:r>
        <w:rPr>
          <w:color w:val="555555"/>
          <w:sz w:val="18"/>
        </w:rPr>
        <w:t xml:space="preserve">Verordnung zum Schutz gegen die Blauzungenkrankheit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hebt die wegen einer amtlichen Feststellung der Blauzungenkrankheit angeordneten Maßnahmen auf, wenn die Informationen nach Artikel 6 Absatz 2 der Verordnung (EG) Nr. 1266/2007 der Kommission vom 26. Oktober 2007 mit Durchführungsvorschriften zur Richtlinie 2000/75/EG des Rates hinsichtlich der Bekämpfung, Überwachung und Beobachtung der Blauzungenkrankheit sowie der Beschränkungen, die für Verbringungen bestimmter Tiere von für die Blauzungenkrankheit empfänglichen Arten gelten (ABl. L 283 vom 27.10.2007, S. 37) in der jeweils geltenden Fassung übermittelt sind.</w:t>
      </w:r>
    </w:p>
    <w:p>
      <w:r>
        <w:t xml:space="preserve">(2) Die zuständige Behörde hebt wegen eines Seuchenverdachts angeordnete Maßnahmen auf, wenn</w:t>
      </w:r>
    </w:p>
    <w:p>
      <w:pPr>
        <w:ind w:left="420"/>
      </w:pPr>
      <w:r>
        <w:t xml:space="preserve">1. die Untersuchungen nach § 3 Absatz 1 Nummer 1 Buchstabe b und</w:t>
      </w:r>
    </w:p>
    <w:p>
      <w:pPr>
        <w:ind w:left="420"/>
      </w:pPr>
      <w:r>
        <w:t xml:space="preserve">2. die Ergebnisse der epizootiologischen Nachforschungen nach § 3 Absatz 1 Nummer 2</w:t>
      </w:r>
    </w:p>
    <w:p>
      <w:r>
        <w:t xml:space="preserve">den Seuchenverdacht nicht bestätigt haben.</w:t>
      </w:r>
    </w:p>
    <w:p>
      <w:r>
        <w:rPr>
          <w:color w:val="555555"/>
          <w:sz w:val="17"/>
        </w:rPr>
        <w:t xml:space="preserve">Zitiervorschlag: § 7 BlauzungenV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https://recht.nulegal.eu/gesetze/BlauzungenV/7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