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BlauzungenV — Bekanntmachung des Seuchenausbruches</w:t>
      </w:r>
    </w:p>
    <w:p>
      <w:r>
        <w:rPr>
          <w:color w:val="555555"/>
          <w:sz w:val="18"/>
        </w:rPr>
        <w:t xml:space="preserve">Verordnung zum Schutz gegen die Blauzungenkrankheit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amtlicher Feststellung macht die zuständige Behörde den Ausbruch der Blauzungenkrankheit öffentlich bekannt.</w:t>
      </w:r>
    </w:p>
    <w:p>
      <w:r>
        <w:rPr>
          <w:color w:val="555555"/>
          <w:sz w:val="17"/>
        </w:rPr>
        <w:t xml:space="preserve">Zitiervorschlag: § 4 BlauzungenV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https://recht.nulegal.eu/gesetze/BlauzungenV/4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