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BismStiftG — Gebühren</w:t>
      </w:r>
    </w:p>
    <w:p>
      <w:r>
        <w:rPr>
          <w:color w:val="555555"/>
          <w:sz w:val="18"/>
        </w:rPr>
        <w:t xml:space="preserve">Gesetz über die Errichtung einer Otto-von-Bismarck-Stiftung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Stiftung kann zur Deckung des Verwaltungsaufwandes nach näherer Bestimmung der Satzung Gebühren für die Benutzung von Stiftungseinrichtungen erheben.</w:t>
      </w:r>
    </w:p>
    <w:p>
      <w:r>
        <w:rPr>
          <w:color w:val="555555"/>
          <w:sz w:val="17"/>
        </w:rPr>
        <w:t xml:space="preserve">Zitiervorschlag: § 11 BismStiftG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https://recht.nulegal.eu/gesetze/BismStiftG/11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