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BiomasseV</w:t>
      </w:r>
    </w:p>
    <w:p>
      <w:r>
        <w:rPr>
          <w:color w:val="555555"/>
          <w:sz w:val="18"/>
        </w:rPr>
        <w:t xml:space="preserve">Biomasseverordnung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1 Satz 2 des Erneuerbare-Energien-Gesetzes vom 29. März 2000 (BGBl. I S. 305) in Verbindung mit Artikel 56 Abs. 1 des Zuständigkeitsanpassungs-Gesetzes vom 18. März 1975 (BGBl. I S. 705) und dem Organisationserlass des Bundeskanzlers vom 22. Januar 2001 (BGBl. I S. 127) verordnet das Bundesministerium für Umwelt, Naturschutz und Reaktorsicherheit im Einvernehmen mit den Bundesministerien für Verbraucherschutz, Ernährung und Landwirtschaft und für Wirtschaft und Technologie unter Wahrung der Rechte des Bundestages:</w:t>
      </w:r>
    </w:p>
    <w:p>
      <w:r>
        <w:rPr>
          <w:color w:val="555555"/>
          <w:sz w:val="17"/>
        </w:rPr>
        <w:t xml:space="preserve">Zitiervorschlag: Eingangsformel BiomasseV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https://recht.nulegal.eu/gesetze/BiomasseV/eingangsformel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