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BiomasseV — Aufgabenbereich</w:t>
      </w:r>
    </w:p>
    <w:p>
      <w:r>
        <w:rPr>
          <w:color w:val="555555"/>
          <w:sz w:val="18"/>
        </w:rPr>
        <w:t xml:space="preserve">Biomasseverordnung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für den Anwendungsbereich des Erneuerbare-Energien-Gesetzes, welche Stoffe als Biomasse gelten, welche technischen Verfahren zur Stromerzeugung aus Biomasse in den Anwendungsbereich des Gesetzes fallen und welche Umweltanforderungen bei der Erzeugung von Strom aus Biomasse einzuhalten sind.</w:t>
      </w:r>
    </w:p>
    <w:p>
      <w:r>
        <w:rPr>
          <w:color w:val="555555"/>
          <w:sz w:val="17"/>
        </w:rPr>
        <w:t xml:space="preserve">Zitiervorschlag: § 1 BiomasseV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https://recht.nulegal.eu/gesetze/BiomasseV/1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