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Biokraft-NachV 2021 — Ausstellung von Nachhaltigkeitsnachweisen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Zur Ausstellung von Nachhaltigkeitsnachweisen sind nur letzte Schnittstellen berechtigt. Letzte Schnittstellen können für Biokraftstoffe, die sie hergestellt haben, einen Nachhaltigkeitsnachweis ausstellen, wenn</w:t>
      </w:r>
    </w:p>
    <w:p>
      <w:pPr>
        <w:ind w:left="420"/>
      </w:pPr>
      <w:r>
        <w:t xml:space="preserve">1. sie ein Zertifikat haben, das nach dieser Verordnung anerkannt ist und das zu dem Zeitpunkt der Ausstellung des Nachhaltigkeitsnachweises gültig ist,</w:t>
      </w:r>
    </w:p>
    <w:p>
      <w:pPr>
        <w:ind w:left="420"/>
      </w:pPr>
      <w:r>
        <w:t xml:space="preserve">2. ihnen ihre vorgelagerten Schnittstellen</w:t>
      </w:r>
    </w:p>
    <w:p>
      <w:pPr>
        <w:ind w:left="780"/>
      </w:pPr>
      <w:r>
        <w:t xml:space="preserve">a) jeweils eine Kopie ihrer Zertifikate vorlegen, die nach dieser Verordnung anerkannt sind und die zu dem Zeitpunkt des in der Schnittstelle vorgenommenen Herstellungs-, Verarbeitungs- oder sonstigen Arbeitsschrittes der Biomasse gültig waren,</w:t>
      </w:r>
    </w:p>
    <w:p>
      <w:pPr>
        <w:ind w:left="780"/>
      </w:pPr>
      <w:r>
        <w:t xml:space="preserve">b) bestätigen, dass die Anforderungen nach den §§ 4 bis 5 bei der Herstellung der Biomasse erfüllt worden sind, und</w:t>
      </w:r>
    </w:p>
    <w:p>
      <w:pPr>
        <w:ind w:left="780"/>
      </w:pPr>
      <w:r>
        <w:t xml:space="preserve">c) die Treibhausgasemissionen angeben, die durch sie und alle von ihnen mit der Herstellung und Lieferung der Biomasse unmittelbar oder mittelbar befassten Betriebe, die nicht selbst eine Schnittstelle sind, bei der Herstellung und Lieferung der Biomasse verursacht worden sind, soweit diese Treibhausgasemissionen für die Berechnung der durch die Verwendung von Biokraftstoffen erzielten Treibhausgaseinsparung nach § 6 berücksichtigt werden müssen; die Treibhausgasemissionen sind jeweils in Gramm Kohlendioxid-Äquivalent pro Megajoule Biomasse oder Biokraftstoff oder in Gramm Kohlendioxid-Äquivalent pro Kilogramm Biomasse auszuweisen,</w:t>
      </w:r>
    </w:p>
    <w:p>
      <w:pPr>
        <w:ind w:left="420"/>
      </w:pPr>
      <w:r>
        <w:t xml:space="preserve">3. die Herkunft der Biomasse von ihrem Anbau bis zu der Schnittstelle mindestens mit einem Massenbilanzsystem nachgewiesen ist, das die Anforderungen nach § 10 erfüllt, und</w:t>
      </w:r>
    </w:p>
    <w:p>
      <w:pPr>
        <w:ind w:left="420"/>
      </w:pPr>
      <w:r>
        <w:t xml:space="preserve">4. der Biokraftstoff die Mindestanforderungen an die Treibhausgaseinsparung nach § 6 erfüllt.</w:t>
      </w:r>
    </w:p>
    <w:p>
      <w:r>
        <w:t xml:space="preserve">(2) Die Richtigkeit der Angaben nach Absatz 1 Nummer 2 Buchstabe b und c wird von den anerkannten Zertifizierungsstellen kontrolliert.</w:t>
      </w:r>
    </w:p>
    <w:p>
      <w:r>
        <w:t xml:space="preserve">(3) Wird ein Biokraftstoff, für den ein Nachhaltigkeitsnachweis oder ein Nachhaltigkeits-Teilnachweis ausgestellt worden ist, für Zwecke verwendet, für die ein solcher Nachweis oder Nachhaltigkeits-Teilnachweis nicht erforderlich ist, so darf dieser Nachweis bezüglich des verwendeten Biokraftstoffs nicht mehr für die Erfüllung der Verpflichtung nach § 3 heranzogen werden und ist insoweit an die zuständige Behörde zurückzugeben.</w:t>
      </w:r>
    </w:p>
    <w:p>
      <w:r>
        <w:rPr>
          <w:color w:val="555555"/>
          <w:sz w:val="17"/>
        </w:rPr>
        <w:t xml:space="preserve">Zitiervorschlag: § 9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