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Biokraft-NachV 2021 — Nachweis über die Erfüllung der Anforderungen</w:t>
      </w:r>
    </w:p>
    <w:p>
      <w:r>
        <w:rPr>
          <w:color w:val="555555"/>
          <w:sz w:val="18"/>
        </w:rPr>
        <w:t xml:space="preserve">Biokraftstoff-Nachhaltigkeitsverordnung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Der Nachweis, dass die Anforderungen nach § 3 Absatz 1 erfüllt sind, erfolgt durch die Vorlage der in § 8 aufgeführten Dokumente. Der oder die Nachweispflichtige hat die Dokumente der Biokraftstoffquotenstelle vorzulegen.</w:t>
      </w:r>
    </w:p>
    <w:p>
      <w:r>
        <w:rPr>
          <w:color w:val="555555"/>
          <w:sz w:val="17"/>
        </w:rPr>
        <w:t xml:space="preserve">Zitiervorschlag: § 7 Biokraft-NachV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https://recht.nulegal.eu/gesetze/Biokraft-NachV%202021/7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