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Biokraft-NachV 2021 — Anerkannte Zertifizierungsstellen auf Grund der Biomassestrom-Nachhaltigkeitsverordnung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Zertifizierungsstellen gelten auch als anerkannt, solange und soweit sie auf Grund der Biomassestrom-Nachhaltigkeitsverordnung anerkannt sind.</w:t>
      </w:r>
    </w:p>
    <w:p>
      <w:r>
        <w:t xml:space="preserve">(2) Die Unterabschnitte 2 und 3 dieses Abschnitts sind entsprechend anzuwenden, soweit sich aus der Biomassestrom-Nachhaltigkeitsverordnung nichts anderes ergibt.</w:t>
      </w:r>
    </w:p>
    <w:p>
      <w:r>
        <w:rPr>
          <w:color w:val="555555"/>
          <w:sz w:val="17"/>
        </w:rPr>
        <w:t xml:space="preserve">Zitiervorschlag: § 39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