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33 Biokraft-NachV 2021 — Kontrolle des Anbaus</w:t>
      </w:r>
    </w:p>
    <w:p>
      <w:r>
        <w:rPr>
          <w:color w:val="555555"/>
          <w:sz w:val="18"/>
        </w:rPr>
        <w:t xml:space="preserve">Biokraftstoff-Nachhaltigkeitsverordnung</w:t>
      </w:r>
    </w:p>
    <w:p>
      <w:r>
        <w:rPr>
          <w:color w:val="555555"/>
          <w:sz w:val="18"/>
        </w:rPr>
        <w:t xml:space="preserve">Stand: 08.12.2021 (konsolidierte Textfassung, kein amtliches Inkrafttretensdatum)</w:t>
      </w:r>
    </w:p>
    <w:p>
      <w:r>
        <w:t xml:space="preserve">Die Zertifizierungsstellen, die Schnittstellen nach § 2 Absatz 32 Nummer 1 Buchstabe a ein Zertifikat ausstellen, kontrollieren auf der Grundlage der von dem anerkannten Zertifizierungssystem vorgegebenen Kriterien, ob die von den Schnittstellen benannten Betriebe die Anforderungen nach den §§ 4 bis 6 erfüllen. Art und Häufigkeit der Kontrollen nach Satz 1 müssen sich insbesondere auf der Grundlage einer Bewertung des Risikos, ob in Bezug auf die Erfüllung dieser Anforderungen Unregelmäßigkeiten und Verstöße auftreten, bestimmen. Für jede Schnittstelle nach Satz 1 ist mindestens die Anzahl der benannten Betriebe jährlich zu kontrollieren, die der Quadratwurzel der Summe aller von diesen Schnittstellen benannten Betriebe entspricht. § 32 Absatz 2 und 3 ist entsprechend anzuwenden.</w:t>
      </w:r>
    </w:p>
    <w:p>
      <w:r>
        <w:rPr>
          <w:color w:val="555555"/>
          <w:sz w:val="17"/>
        </w:rPr>
        <w:t xml:space="preserve">Zitiervorschlag: § 33 Biokraft-NachV 2021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https://recht.nulegal.eu/gesetze/Biokraft-NachV%202021/33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