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Biokraft-NachV 2021 — Kontrolle der Schnittstellen und Lieferanten</w:t>
      </w:r>
    </w:p>
    <w:p>
      <w:r>
        <w:rPr>
          <w:color w:val="555555"/>
          <w:sz w:val="18"/>
        </w:rPr>
        <w:t xml:space="preserve">Biokraftstoff-Nachhaltigkeitsverordnung</w:t>
      </w:r>
    </w:p>
    <w:p>
      <w:r>
        <w:rPr>
          <w:color w:val="555555"/>
          <w:sz w:val="18"/>
        </w:rPr>
        <w:t xml:space="preserve">Stand: 08.12.2021 (konsolidierte Textfassung, kein amtliches Inkrafttretensdatum)</w:t>
      </w:r>
    </w:p>
    <w:p>
      <w:r>
        <w:t xml:space="preserve">(1) Die Zertifizierungsstellen kontrollieren spätestens sechs Monate nach Ausstellung des ersten Zertifikates und im Übrigen mindestens einmal im Jahr, ob die Schnittstellen und die Lieferanten die Voraussetzungen für die Ausstellung eines Zertifikates nach § 19 weiterhin erfüllen. Die zuständige Behörde kann bei begründetem Verdacht, insbesondere auf Grund der Berichte nach § 35, bestimmen, dass eine Schnittstelle in kürzeren Abständen kontrolliert werden muss. Dies ist auch in den Fällen des § 19 Absatz 2 Satz 2 anzuwenden.</w:t>
      </w:r>
    </w:p>
    <w:p>
      <w:r>
        <w:t xml:space="preserve">(2) Die Beschäftigten der Zertifizierungsstellen sind befugt, während der Geschäfts- oder Betriebszeit Grundstücke, Geschäfts-, Betriebs- und Lagerräume sowie Transportmittel der Schnittstellen und Lieferanten zu betreten, soweit dies für die Kontrolle nach Absatz 1 erforderlich ist. Diese Befugnis bezieht sich auf alle Orte im Geltungsbereich dieser Verordnung, an denen die Schnittstellen und Lieferanten im Zusammenhang mit der Herstellung oder Lieferung von Biomasse oder Biokraftstoffen, für die ein Nachhaltigkeitsnachweis nach dieser Verordnung ausgestellt wird, Tätigkeiten ausübt.</w:t>
      </w:r>
    </w:p>
    <w:p>
      <w:r>
        <w:t xml:space="preserve">(3) Die Schnittstellen und Lieferanten im Geltungsbereich dieser Verordnung sind verpflichtet, die Kontrollen nach den Absätzen 1 und 2 zu dulden.</w:t>
      </w:r>
    </w:p>
    <w:p>
      <w:r>
        <w:rPr>
          <w:color w:val="555555"/>
          <w:sz w:val="17"/>
        </w:rPr>
        <w:t xml:space="preserve">Zitiervorschlag: § 32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