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29 Biokraft-NachV 2021 — Erlöschen der Anerkennung</w:t>
      </w:r>
    </w:p>
    <w:p>
      <w:r>
        <w:rPr>
          <w:color w:val="555555"/>
          <w:sz w:val="18"/>
        </w:rPr>
        <w:t xml:space="preserve">Biokraftstoff-Nachhaltigkeitsverordnung</w:t>
      </w:r>
    </w:p>
    <w:p>
      <w:r>
        <w:rPr>
          <w:color w:val="555555"/>
          <w:sz w:val="18"/>
        </w:rPr>
        <w:t xml:space="preserve">Stand: 08.12.2021 (konsolidierte Textfassung, kein amtliches Inkrafttretensdatum)</w:t>
      </w:r>
    </w:p>
    <w:p>
      <w:r>
        <w:t xml:space="preserve">(1) Die Anerkennung einer Zertifizierungsstelle erlischt, wenn sie zurückgenommen, widerrufen, anderweitig aufgehoben oder durch Zeitablauf oder auf andere Weise erledigt ist. Sie erlischt auch, wenn die Zertifizierungsstelle ihre Tätigkeit</w:t>
      </w:r>
    </w:p>
    <w:p>
      <w:pPr>
        <w:ind w:left="420"/>
      </w:pPr>
      <w:r>
        <w:t xml:space="preserve">1. nicht innerhalb eines Jahres nach Erteilung der ersten Anerkennung aufgenommen hat oder</w:t>
      </w:r>
    </w:p>
    <w:p>
      <w:pPr>
        <w:ind w:left="420"/>
      </w:pPr>
      <w:r>
        <w:t xml:space="preserve">2. seit Aufnahme der Tätigkeit mehr als ein Jahr nicht mehr ausgeübt hat.</w:t>
      </w:r>
    </w:p>
    <w:p>
      <w:r>
        <w:t xml:space="preserve">(2) Das Erlöschen der Anerkennung und der Grund für das Erlöschen nach Absatz 1 sind von der zuständigen Behörde im Bundesanzeiger bekannt zu machen.</w:t>
      </w:r>
    </w:p>
    <w:p>
      <w:r>
        <w:rPr>
          <w:color w:val="555555"/>
          <w:sz w:val="17"/>
        </w:rPr>
        <w:t xml:space="preserve">Zitiervorschlag: § 29 Biokraft-NachV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https://recht.nulegal.eu/gesetze/Biokraft-NachV%202021/29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29 Biokraft-NachV 2021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