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Biokraft-NachV 2021 — Ausstellung von Zertifikaten</w:t>
      </w:r>
    </w:p>
    <w:p>
      <w:r>
        <w:rPr>
          <w:color w:val="555555"/>
          <w:sz w:val="18"/>
        </w:rPr>
        <w:t xml:space="preserve">Biokraftstoff-Nachhaltigkeitsverordnung</w:t>
      </w:r>
    </w:p>
    <w:p>
      <w:r>
        <w:rPr>
          <w:color w:val="555555"/>
          <w:sz w:val="18"/>
        </w:rPr>
        <w:t xml:space="preserve">Stand: 08.12.2021 (konsolidierte Textfassung, kein amtliches Inkrafttretensdatum)</w:t>
      </w:r>
    </w:p>
    <w:p>
      <w:r>
        <w:t xml:space="preserve">(1) Schnittstellen und Lieferanten kann auf Antrag ein Zertifikat ausgestellt werden, wenn</w:t>
      </w:r>
    </w:p>
    <w:p>
      <w:pPr>
        <w:ind w:left="420"/>
      </w:pPr>
      <w:r>
        <w:t xml:space="preserve">1. sie sich verpflichtet haben, bei der Herstellung von Biomasse oder Biokraftstoff im Anwendungsbereich dieser Verordnung mindestens die Anforderungen eines Zertifizierungssystems zu erfüllen, das nach dieser Verordnung anerkannt ist,</w:t>
      </w:r>
    </w:p>
    <w:p>
      <w:pPr>
        <w:ind w:left="420"/>
      </w:pPr>
      <w:r>
        <w:t xml:space="preserve">2. sie sich im Fall von letzten Schnittstellen nach § 9 Absatz 2 verpflichtet haben,</w:t>
      </w:r>
    </w:p>
    <w:p>
      <w:pPr>
        <w:ind w:left="780"/>
      </w:pPr>
      <w:r>
        <w:t xml:space="preserve">a) bei der Ausstellung von Nachhaltigkeitsnachweisen die Anforderungen nach den §§ 9 und 12 zu erfüllen,</w:t>
      </w:r>
    </w:p>
    <w:p>
      <w:pPr>
        <w:ind w:left="780"/>
      </w:pPr>
      <w:r>
        <w:t xml:space="preserve">b) Kopien aller Nachhaltigkeitsnachweise, die sie auf Grund dieser Verordnung ausgestellt haben, unverzüglich der Zertifizierungsstelle zu übermitteln, die das Zertifikat ausgestellt hat, und</w:t>
      </w:r>
    </w:p>
    <w:p>
      <w:pPr>
        <w:ind w:left="780"/>
      </w:pPr>
      <w:r>
        <w:t xml:space="preserve">c) diese Nachhaltigkeitsnachweise sowie alle für ihre Ausstellung erforderlichen Dokumente zehn Jahre ab dem Datum der Ausstellung des jeweiligen Nachhaltigkeitsnachweises aufzubewahren und nach Ablauf der Aufbewahrungsfrist unverzüglich, bei elektronischer Aufbewahrung automatisiert zu löschen,</w:t>
      </w:r>
    </w:p>
    <w:p>
      <w:pPr>
        <w:ind w:left="420"/>
      </w:pPr>
      <w:r>
        <w:t xml:space="preserve">3. sie sicherstellen, dass sich alle von ihnen mit der Herstellung oder Lieferung der Biomasse oder des Biokraftstoffs unmittelbar oder mittelbar befassten Betriebe, die nicht selbst eine Schnittstelle sind, verpflichtet haben, bei der Herstellung von Biomasse oder Biokraftstoff im Anwendungsbereich dieser Verordnung mindestens die Anforderungen eines nach dieser Verordnung anerkannten Zertifizierungssystems zu erfüllen, und diese Anforderungen auch tatsächlich erfüllen,</w:t>
      </w:r>
    </w:p>
    <w:p>
      <w:pPr>
        <w:ind w:left="420"/>
      </w:pPr>
      <w:r>
        <w:t xml:space="preserve">4. sie sich verpflichtet haben, Folgendes zu dokumentieren:</w:t>
      </w:r>
    </w:p>
    <w:p>
      <w:pPr>
        <w:ind w:left="780"/>
      </w:pPr>
      <w:r>
        <w:t xml:space="preserve">a) die Erfüllung der Anforderungen nach den §§ 4 bis 6 durch die Schnittstellen und alle von ihnen mit der Herstellung oder Lieferung der Biomasse oder des Biokraftstoffs unmittelbar oder mittelbar befassten Betriebe, die nicht selbst eine Schnittstelle sind, in dem Zertifizierungssystem,</w:t>
      </w:r>
    </w:p>
    <w:p>
      <w:pPr>
        <w:ind w:left="780"/>
      </w:pPr>
      <w:r>
        <w:t xml:space="preserve">b) die Menge und die Art der zur Herstellung eingesetzten Biomasse,</w:t>
      </w:r>
    </w:p>
    <w:p>
      <w:pPr>
        <w:ind w:left="780"/>
      </w:pPr>
      <w:r>
        <w:t xml:space="preserve">c) im Fall der Schnittstellen nach § 2 Absatz 32 Nummer 1 Buchstabe a den Ort des Anbaus der Biomasse, als Polygonzug in geografischen Koordinaten mit einer Genauigkeit von 20 Metern für jeden Einzelpunkt, und</w:t>
      </w:r>
    </w:p>
    <w:p>
      <w:pPr>
        <w:ind w:left="780"/>
      </w:pPr>
      <w:r>
        <w:t xml:space="preserve">d) die Treibhausgasemissionen, die durch die Schnittstellen und alle von ihnen mit der Herstellung oder Lieferung der Biomasse unmittelbar oder mittelbar befassten Betriebe, die nicht selbst eine Schnittstelle im Sinne dieser Verordnung sind, bei der Herstellung und Lieferung der Biomasse verursacht worden sind, soweit diese Treibhausgasemissionen für die Berechnung der durch die Verwendung von Biokraftstoffen erzielten Treibhausgaseinsparung nach § 6 berücksichtigt werden müssen; die Treibhausgasemissionen sind jeweils in Gramm Kohlendioxid-Äquivalent pro Megajoule Biomasse oder Biokraftstoff oder in Gramm Kohlendioxid-Äquivalent pro Kilogramm Biomasse auszuweisen, und</w:t>
      </w:r>
    </w:p>
    <w:p>
      <w:pPr>
        <w:ind w:left="420"/>
      </w:pPr>
      <w:r>
        <w:t xml:space="preserve">5. die Erfüllung der Anforderungen nach den Nummern 1 bis 4 von der Zertifizierungsstelle kontrolliert wurde.</w:t>
      </w:r>
    </w:p>
    <w:p>
      <w:r>
        <w:t xml:space="preserve">(2) Nach Ablauf der Gültigkeit eines Zertifikates kann Schnittstellen und Lieferanten auf Antrag ein neues Zertifikat nur ausgestellt werden, wenn</w:t>
      </w:r>
    </w:p>
    <w:p>
      <w:pPr>
        <w:ind w:left="420"/>
      </w:pPr>
      <w:r>
        <w:t xml:space="preserve">1. sie die Anforderungen nach Absatz 1 Nummer 1 bis 4 während der Dauer der Gültigkeit des vorherigen Zertifikates erfüllt haben,</w:t>
      </w:r>
    </w:p>
    <w:p>
      <w:pPr>
        <w:ind w:left="420"/>
      </w:pPr>
      <w:r>
        <w:t xml:space="preserve">2. die Dokumentation nach Absatz 1 Nummer 4 nachvollziehbar ist und</w:t>
      </w:r>
    </w:p>
    <w:p>
      <w:pPr>
        <w:ind w:left="420"/>
      </w:pPr>
      <w:r>
        <w:t xml:space="preserve">3. die Kontrollen nach § 32 keine anderslautenden Erkenntnisse erbracht haben.</w:t>
      </w:r>
    </w:p>
    <w:p>
      <w:r>
        <w:t xml:space="preserve">Wenn eine Schnittstelle oder ein Lieferant die Anforderungen nach Absatz 1 Nummer 1 bis 4 während der Dauer der Gültigkeit des vorherigen Zertifikates nicht erfüllt hat und der Umfang der Unregelmäßigkeiten und Verstöße nicht erheblich ist, kann abweichend von Satz 1 Nummer 1 ein neues Zertifikat auch ausgestellt werden, wenn die Schnittstelle oder der Lieferant die Anforderungen weder vorsätzlich noch grob fahrlässig nicht erfüllt hat und die Erfüllung der Anforderungen für die Dauer der Gültigkeit des neuen Zertifikates sichergestellt ist.</w:t>
      </w:r>
    </w:p>
    <w:p>
      <w:r>
        <w:t xml:space="preserve">(3) Die Absätze 1 und 2 berühren nicht das Recht der Schnittstelle, auch Roh-, Brenn- oder Kraftstoffe herzustellen, die nicht als Biokraftstoffe nach dieser Verordnung gelten.</w:t>
      </w:r>
    </w:p>
    <w:p>
      <w:r>
        <w:t xml:space="preserve">(4) Zur Ausstellung von Zertifikaten nach den Absätzen 1 und 2 sind nur Zertifizierungsstellen berechtigt, die nach dieser Verordnung anerkannt sind und die von dem Zertifizierungssystem nach Absatz 1 Nummer 1 benannt worden sind. Die Zertifikate müssen in diesem Zertifizierungssystem ausgestellt werden.</w:t>
      </w:r>
    </w:p>
    <w:p>
      <w:r>
        <w:rPr>
          <w:color w:val="555555"/>
          <w:sz w:val="17"/>
        </w:rPr>
        <w:t xml:space="preserve">Zitiervorschlag: § 19 Biokraft-NachV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https://recht.nulegal.eu/gesetze/Biokraft-NachV%202021/19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Biokraft-NachV 2021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