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Biokraft-NachV 2021 — Folgen fehlender oder nicht ausreichender Angaben</w:t>
      </w:r>
    </w:p>
    <w:p>
      <w:r>
        <w:rPr>
          <w:color w:val="555555"/>
          <w:sz w:val="18"/>
        </w:rPr>
        <w:t xml:space="preserve">Biokraftstoff-Nachhaltigkeitsverordnung</w:t>
      </w:r>
    </w:p>
    <w:p>
      <w:r>
        <w:rPr>
          <w:color w:val="555555"/>
          <w:sz w:val="18"/>
        </w:rPr>
        <w:t xml:space="preserve">Stand: 08.06.2026 (konsolidierte Textfassung, kein amtliches Inkrafttretensdatum)</w:t>
      </w:r>
    </w:p>
    <w:p>
      <w:r>
        <w:t xml:space="preserve">(1) Enthält ein Nachhaltigkeitsnachweis bei den Angaben zur Treibhausgaseinsparung nicht den Vergleichswert für die Verwendung, zu deren Zweck die Biokraftstoffe eingesetzt werden, so muss die oder der Nachweispflichtige zur Erfüllung der Verpflichtungen nach § 37a Absatz 1 Satz 1 und 2 in Verbindung mit § 37a Absatz 4 des Bundes-Immissionsschutzgesetzes oder der Verpflichtung nach Artikel 4 in Verbindung mit Anhang I der Verordnung (EU) 2023/2405, soweit es sich um Biokraftstoffe für die Luftfahrt nach Artikel 3 Nummer 7 Buchstabe b der Verordnung (EU) 2023/2405 handelt, gegenüber der Biokraftstoffquotenstelle nachweisen, dass die Biokraftstoffe die Mindestanforderungen an die Treibhausgaseinsparung nach § 6 Absatz 1 auch bei dieser Verwendung erfüllen. Die zuständige Behörde kann eine Methode zur Umrechnung der Treibhausgaseinsparung für unterschiedliche Verwendungen im Bundesanzeiger bekannt machen.</w:t>
      </w:r>
    </w:p>
    <w:p>
      <w:r>
        <w:t xml:space="preserve">(2) Wird der Biokraftstoff nicht in dem Staat oder in der Region, der oder die auf dem Nachhaltigkeitsnachweis angegeben wurde, in Verkehr gebracht, so muss die oder der Nachweispflichtige gegenüber der Biokraftstoffquotenstelle nachweisen, dass der Biokraftstoff die Mindestanforderungen an die Treibhausgaseinsparung nach § 6 Absatz 1 auch in diesem Staat oder in dieser Region erfüllt.</w:t>
      </w:r>
    </w:p>
    <w:p>
      <w:r>
        <w:rPr>
          <w:color w:val="555555"/>
          <w:sz w:val="17"/>
        </w:rPr>
        <w:t xml:space="preserve">Zitiervorschlag: § 13 Biokraft-NachV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https://recht.nulegal.eu/gesetze/Biokraft-NachV%202021/13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