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Biokraft-NachV 2021 — Anwendungsbereich</w:t>
      </w:r>
    </w:p>
    <w:p>
      <w:r>
        <w:rPr>
          <w:color w:val="555555"/>
          <w:sz w:val="18"/>
        </w:rPr>
        <w:t xml:space="preserve">Biokraftstoff-Nachhaltigkeitsverordnung</w:t>
      </w:r>
    </w:p>
    <w:p>
      <w:r>
        <w:rPr>
          <w:color w:val="555555"/>
          <w:sz w:val="18"/>
        </w:rPr>
        <w:t xml:space="preserve">Stand: 08.06.2026 (konsolidierte Textfassung, kein amtliches Inkrafttretensdatum)</w:t>
      </w:r>
    </w:p>
    <w:p>
      <w:r>
        <w:t xml:space="preserve">Diese Verordnung ist anzuwenden für die Erfüllung</w:t>
      </w:r>
    </w:p>
    <w:p>
      <w:pPr>
        <w:ind w:left="420"/>
      </w:pPr>
      <w:r>
        <w:t xml:space="preserve">1. der Verpflichtungen nach § 37a Absatz 1 Satz 1 und 2 in Verbindung mit § 37a Absatz 4 des Bundes-Immissionsschutzgesetzes und</w:t>
      </w:r>
    </w:p>
    <w:p>
      <w:pPr>
        <w:ind w:left="420"/>
      </w:pPr>
      <w:r>
        <w:t xml:space="preserve">2. der Verpflichtung nach Artikel 4 in Verbindung mit dem Anhang I der Verordnung (EU) 2023/2405, soweit es sich um Biokraftstoffe für die Luftfahrt nach Artikel 3 Nummer 7 Buchstabe b der Verordnung (EU) 2023/2405 handelt.</w:t>
      </w:r>
    </w:p>
    <w:p>
      <w:r>
        <w:rPr>
          <w:color w:val="555555"/>
          <w:sz w:val="17"/>
        </w:rPr>
        <w:t xml:space="preserve">Zitiervorschlag: § 1 Biokraft-NachV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https://recht.nulegal.eu/gesetze/Biokraft-NachV%202021/1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