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BioStoffV 2013 — Dokumentation der Gefährdungsbeurteilung und Aufzeichnungspflichten</w:t>
      </w:r>
    </w:p>
    <w:p>
      <w:r>
        <w:rPr>
          <w:color w:val="555555"/>
          <w:sz w:val="18"/>
        </w:rPr>
        <w:t xml:space="preserve">Biostoffverordnung</w:t>
      </w:r>
    </w:p>
    <w:p>
      <w:r>
        <w:rPr>
          <w:color w:val="555555"/>
          <w:sz w:val="18"/>
        </w:rPr>
        <w:t xml:space="preserve">Stand: 01.10.2021 (konsolidierte Textfassung, kein amtliches Inkrafttretensdatum)</w:t>
      </w:r>
    </w:p>
    <w:p>
      <w:r>
        <w:t xml:space="preserve">(1) Der Arbeitgeber hat die Gefährdungsbeurteilung unabhängig von der Zahl der Beschäftigten erstmals vor Aufnahme der Tätigkeit sowie danach jede Aktualisierung gemäß Satz 2 zu dokumentieren. Die Dokumentation der Gefährdungsbeurteilung umfasst insbesondere folgende Angaben:</w:t>
      </w:r>
    </w:p>
    <w:p>
      <w:pPr>
        <w:ind w:left="420"/>
      </w:pPr>
      <w:r>
        <w:t xml:space="preserve">1. die Art der Tätigkeit einschließlich der Expositionsbedingungen,</w:t>
      </w:r>
    </w:p>
    <w:p>
      <w:pPr>
        <w:ind w:left="420"/>
      </w:pPr>
      <w:r>
        <w:t xml:space="preserve">2. das Ergebnis der Substitutionsprüfung nach § 4 Absatz 3 Nummer 4,</w:t>
      </w:r>
    </w:p>
    <w:p>
      <w:pPr>
        <w:ind w:left="420"/>
      </w:pPr>
      <w:r>
        <w:t xml:space="preserve">3. die nach § 5 Absatz 2 festgelegten Schutzstufen,</w:t>
      </w:r>
    </w:p>
    <w:p>
      <w:pPr>
        <w:ind w:left="420"/>
      </w:pPr>
      <w:r>
        <w:t xml:space="preserve">4. die zu ergreifenden Schutzmaßnahmen,</w:t>
      </w:r>
    </w:p>
    <w:p>
      <w:pPr>
        <w:ind w:left="420"/>
      </w:pPr>
      <w:r>
        <w:t xml:space="preserve">5. eine Begründung, wenn von den nach § 19 Absatz 4 Nummer 1 bekannt gegebenen Regeln und Erkenntnissen abgewichen wird.</w:t>
      </w:r>
    </w:p>
    <w:p>
      <w:r>
        <w:t xml:space="preserve">(2) Als Bestandteil der Dokumentation hat der Arbeitgeber ein Verzeichnis der verwendeten oder auftretenden Biostoffe zu erstellen (Biostoffverzeichnis), soweit diese bekannt sind. Das Verzeichnis muss Angaben zur Einstufung der Biostoffe in eine Risikogruppe nach § 3 und zu ihren sensibilisierenden und toxischen Wirkungen beinhalten. Die Angaben müssen allen betroffenen Beschäftigten und ihren Vertretungen zugänglich sein.</w:t>
      </w:r>
    </w:p>
    <w:p>
      <w:r>
        <w:t xml:space="preserve">(3) Bei Tätigkeiten der Schutzstufe 3 oder 4 hat der Arbeitgeber zusätzlich ein Verzeichnis über die Beschäftigten zu führen, die diese Tätigkeiten ausüben. In dem Verzeichnis sind die Art der Tätigkeiten und die vorkommenden Biostoffe sowie aufgetretene Unfälle und Betriebsstörungen anzugeben. Es ist personenbezogen für den Zeitraum von mindestens zehn Jahren nach Beendigung der Tätigkeit aufzubewahren. Der Arbeitgeber hat</w:t>
      </w:r>
    </w:p>
    <w:p>
      <w:pPr>
        <w:ind w:left="420"/>
      </w:pPr>
      <w:r>
        <w:t xml:space="preserve">1. den Beschäftigten die sie betreffenden Angaben in dem Verzeichnis zugänglich zu machen; der Schutz der personenbezogenen Daten ist zu gewährleisten,</w:t>
      </w:r>
    </w:p>
    <w:p>
      <w:pPr>
        <w:ind w:left="420"/>
      </w:pPr>
      <w:r>
        <w:t xml:space="preserve">2. bei Beendigung des Beschäftigungsverhältnisses dem Beschäftigten einen Auszug über die ihn betreffenden Angaben des Verzeichnisses auszuhändigen; der Nachweis über die Aushändigung ist vom Arbeitgeber wie Personalunterlagen aufzubewahren.</w:t>
      </w:r>
    </w:p>
    <w:p>
      <w:r>
        <w:t xml:space="preserve">Das Verzeichnis über die Beschäftigten kann zusammen mit dem Biostoffverzeichnis nach Absatz 2 geführt werden.</w:t>
      </w:r>
    </w:p>
    <w:p>
      <w:r>
        <w:t xml:space="preserve">(4) Auf die Dokumentation der Angaben nach Absatz 1 Satz 2 Nummer 2 und 5 sowie auf das Verzeichnis nach Absatz 2 kann verzichtet werden, wenn ausschließlich Tätigkeiten mit Biostoffen der Risikogruppe 1 ohne sensibilisierende oder toxische Wirkungen durchgeführt werden.</w:t>
      </w:r>
    </w:p>
    <w:p>
      <w:r>
        <w:rPr>
          <w:color w:val="555555"/>
          <w:sz w:val="17"/>
        </w:rPr>
        <w:t xml:space="preserve">Zitiervorschlag: § 7 BioStoffV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https://recht.nulegal.eu/gesetze/BioStoffV%202013/7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