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BioStoffV 2013 — Einstufung von Biostoffen in Risikogruppen</w:t>
      </w:r>
    </w:p>
    <w:p>
      <w:r>
        <w:rPr>
          <w:color w:val="555555"/>
          <w:sz w:val="18"/>
        </w:rPr>
        <w:t xml:space="preserve">Biostoffverordnung</w:t>
      </w:r>
    </w:p>
    <w:p>
      <w:r>
        <w:rPr>
          <w:color w:val="555555"/>
          <w:sz w:val="18"/>
        </w:rPr>
        <w:t xml:space="preserve">Stand: 16.05.2026 (konsolidierte Textfassung, kein amtliches Inkrafttretensdatum)</w:t>
      </w:r>
    </w:p>
    <w:p>
      <w:r>
        <w:t xml:space="preserve">(1) Biostoffe werden entsprechend dem von ihnen ausgehenden Infektionsrisiko nach dem Stand der Wissenschaft in eine der folgenden Risikogruppen eingestuft:</w:t>
      </w:r>
    </w:p>
    <w:p>
      <w:pPr>
        <w:ind w:left="420"/>
      </w:pPr>
      <w:r>
        <w:t xml:space="preserve">1. Risikogruppe 1: Biostoffe, bei denen es unwahrscheinlich ist, dass sie beim Menschen eine Krankheit hervorrufen,</w:t>
      </w:r>
    </w:p>
    <w:p>
      <w:pPr>
        <w:ind w:left="420"/>
      </w:pPr>
      <w:r>
        <w:t xml:space="preserve">2. Risikogruppe 2: Biostoffe, die eine Krankheit beim Menschen hervorrufen können und eine Gefahr für Beschäftigte darstellen könnten; eine Verbreitung in der Bevölkerung ist unwahrscheinlich; eine wirksame Vorbeugung oder Behandlung ist normalerweise möglich,</w:t>
      </w:r>
    </w:p>
    <w:p>
      <w:pPr>
        <w:ind w:left="420"/>
      </w:pPr>
      <w:r>
        <w:t xml:space="preserve">3. Risikogruppe 3: Biostoffe, die eine schwere Krankheit beim Menschen hervorrufen und eine ernste Gefahr für Beschäftigte darstellen können; die Gefahr einer Verbreitung in der Bevölkerung kann bestehen, doch ist normalerweise eine wirksame Vorbeugung oder Behandlung möglich,</w:t>
      </w:r>
    </w:p>
    <w:p>
      <w:pPr>
        <w:ind w:left="420"/>
      </w:pPr>
      <w:r>
        <w:t xml:space="preserve">4. Risikogruppe 4: Biostoffe, die eine schwere Krankheit beim Menschen hervorrufen und eine ernste Gefahr für Beschäftigte darstellen; die Gefahr einer Verbreitung in der Bevölkerung ist unter Umständen groß; normalerweise ist eine wirksame Vorbeugung oder Behandlung nicht möglich.</w:t>
      </w:r>
    </w:p>
    <w:p>
      <w:r>
        <w:t xml:space="preserve">(2) Für die Einstufung der Biostoffe in die Risikogruppen 2 bis 4 gilt Anhang III der Richtlinie 2000/54/EG in der Fassung vom 18. September 2000. Wird dieser Anhang im Verfahren nach Artikel 19 dieser Richtlinie an den technischen Fortschritt angepasst, so kann die geänderte Fassung bereits ab ihrem Inkrafttreten angewendet werden. Sie ist nach Ablauf der festgelegten Umsetzungsfrist anzuwenden.</w:t>
      </w:r>
    </w:p>
    <w:p>
      <w:r>
        <w:t xml:space="preserve">(3) Ist ein Biostoff nicht nach Absatz 2 eingestuft, kann das Bundesministerium für Arbeit und Soziales nach Beratung durch den Ausschuss nach § 19 die Einstufung in eine Risikogruppe nach Absatz 1 vornehmen. Der Arbeitgeber hat diese Einstufungen zu beachten. Die Fundstellen, die die Listen mit den Einstufungen enthalten, werden im Gemeinsamen Ministerialblatt bekannt gegeben.</w:t>
      </w:r>
    </w:p>
    <w:p>
      <w:r>
        <w:t xml:space="preserve">(4) Liegt für einen Biostoff weder eine Einstufung nach Absatz 2 noch eine nach Absatz 3 vor, hat der Arbeitgeber, der eine gezielte Tätigkeit mit diesem Biostoff beabsichtigt, diesen in eine der Risikogruppen nach Absatz 1 einzustufen. Dabei hat der Arbeitgeber Folgendes zu beachten:</w:t>
      </w:r>
    </w:p>
    <w:p>
      <w:pPr>
        <w:ind w:left="420"/>
      </w:pPr>
      <w:r>
        <w:t xml:space="preserve">1. kommen für die Einstufung mehrere Risikogruppen in Betracht, ist der Biostoff in die höchste infrage kommende Risikogruppe einzustufen,</w:t>
      </w:r>
    </w:p>
    <w:p>
      <w:pPr>
        <w:ind w:left="420"/>
      </w:pPr>
      <w:r>
        <w:t xml:space="preserve">2. Viren, die bereits beim Menschen isoliert wurden, sind mindestens in die Risikogruppe 2 einzustufen, es sei denn, es ist unwahrscheinlich, dass diese Viren beim Menschen eine Krankheit verursachen,</w:t>
      </w:r>
    </w:p>
    <w:p>
      <w:pPr>
        <w:ind w:left="420"/>
      </w:pPr>
      <w:r>
        <w:t xml:space="preserve">3. Stämme, die abgeschwächt sind oder bekannte Virulenzgene verloren haben, können vorbehaltlich einer angemessenen Ermittlung und Bewertung in eine niedrigere Risikogruppe eingestuft werden als der Elternstamm (parentaler Stamm); ist der Elternstamm in die Risikogruppe 3 oder 4 eingestuft, kann eine Herabstufung nur auf der Grundlage einer wissenschaftlichen Bewertung erfolgen, die insbesondere der Ausschuss nach § 19 vornehmen kann.</w:t>
      </w:r>
    </w:p>
    <w:p>
      <w:r>
        <w:rPr>
          <w:color w:val="555555"/>
          <w:sz w:val="17"/>
        </w:rPr>
        <w:t xml:space="preserve">Zitiervorschlag: § 3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