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BioStoffV 2013 — Übergangsvorschriften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Bei Tätigkeiten, die vor dem 23. Juli 2013 aufgenommen worden sind, besteht keine Erlaubnispflicht nach § 15 Absatz 1, sofern</w:t>
      </w:r>
    </w:p>
    <w:p>
      <w:pPr>
        <w:ind w:left="420"/>
      </w:pPr>
      <w:r>
        <w:t xml:space="preserve">1. diese Tätigkeiten der zuständigen Behörde angezeigt wurden und</w:t>
      </w:r>
    </w:p>
    <w:p>
      <w:pPr>
        <w:ind w:left="420"/>
      </w:pPr>
      <w:r>
        <w:t xml:space="preserve">2. die der Anzeige zugrundeliegenden baulichen, technischen und organisatorischen Bedingungen nach dem 30. September 2021 nicht wesentlich verändert wurden.</w:t>
      </w:r>
    </w:p>
    <w:p>
      <w:r>
        <w:t xml:space="preserve">Die Anzeigepflicht nach § 16 Absatz 1 Nummer 4 bleibt unberührt.</w:t>
      </w:r>
    </w:p>
    <w:p>
      <w:r>
        <w:rPr>
          <w:color w:val="555555"/>
          <w:sz w:val="17"/>
        </w:rPr>
        <w:t xml:space="preserve">Zitiervorschlag: § 22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