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BioStoffV 2013 — Straftaten</w:t>
      </w:r>
    </w:p>
    <w:p>
      <w:r>
        <w:rPr>
          <w:color w:val="555555"/>
          <w:sz w:val="18"/>
        </w:rPr>
        <w:t xml:space="preserve">Biostoffverordnung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durch eine in § 20 Absatz 1 bezeichnete vorsätzliche Handlung Leben oder Gesundheit eines Beschäftigten gefährdet, ist nach § 26 Nummer 2 des Arbeitsschutzgesetzes strafbar.</w:t>
      </w:r>
    </w:p>
    <w:p>
      <w:r>
        <w:t xml:space="preserve">(2) Wer durch eine in § 20 Absatz 2 bezeichnete vorsätzliche Handlung in Heimarbeit Beschäftigte in ihrer Arbeitskraft oder Gesundheit gefährdet, ist nach § 32 Absatz 3 oder Absatz 4 des Heimarbeitsgesetzes strafbar.</w:t>
      </w:r>
    </w:p>
    <w:p>
      <w:r>
        <w:rPr>
          <w:color w:val="555555"/>
          <w:sz w:val="17"/>
        </w:rPr>
        <w:t xml:space="preserve">Zitiervorschlag: § 21 BioStoffV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https://recht.nulegal.eu/gesetze/BioStoffV%202013/21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