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BioStoffV 2013 — Ordnungswidrigkeiten</w:t>
      </w:r>
    </w:p>
    <w:p>
      <w:r>
        <w:rPr>
          <w:color w:val="555555"/>
          <w:sz w:val="18"/>
        </w:rPr>
        <w:t xml:space="preserve">Biostoffverordnung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Ordnungswidrig im Sinne des § 25 Absatz 1 Nummer 1 des Arbeitsschutzgesetzes handelt, wer vorsätzlich oder fahrlässig</w:t>
      </w:r>
    </w:p>
    <w:p>
      <w:pPr>
        <w:ind w:left="420"/>
      </w:pPr>
      <w:r>
        <w:t xml:space="preserve">1. entgegen § 4 Absatz 1 Satz 1 oder 2 die Gefährdung der Beschäftigten nicht, nicht richtig, nicht vollständig oder nicht rechtzeitig beurteilt,</w:t>
      </w:r>
    </w:p>
    <w:p>
      <w:pPr>
        <w:ind w:left="420"/>
      </w:pPr>
      <w:r>
        <w:t xml:space="preserve">2. entgegen § 4 Absatz 2 Satz 1 eine Gefährdungsbeurteilung nicht oder nicht rechtzeitig aktualisiert,</w:t>
      </w:r>
    </w:p>
    <w:p>
      <w:pPr>
        <w:ind w:left="420"/>
      </w:pPr>
      <w:r>
        <w:t xml:space="preserve">3. entgegen § 4 Absatz 2 Satz 2 eine Gefährdungsbeurteilung nicht oder nicht rechtzeitig überprüft,</w:t>
      </w:r>
    </w:p>
    <w:p>
      <w:pPr>
        <w:ind w:left="420"/>
      </w:pPr>
      <w:r>
        <w:t xml:space="preserve">4. entgegen § 7 Absatz 1 Satz 1 eine Gefährdungsbeurteilung nicht, nicht richtig, nicht vollständig oder nicht rechtzeitig dokumentiert,</w:t>
      </w:r>
    </w:p>
    <w:p>
      <w:pPr>
        <w:ind w:left="420"/>
      </w:pPr>
      <w:r>
        <w:t xml:space="preserve">5. entgegen § 7 Absatz 3 Satz 1 ein dort genanntes Verzeichnis nicht, nicht richtig oder nicht vollständig führt,</w:t>
      </w:r>
    </w:p>
    <w:p>
      <w:pPr>
        <w:ind w:left="420"/>
      </w:pPr>
      <w:r>
        <w:t xml:space="preserve">6. entgegen § 7 Absatz 3 Satz 3 ein dort genanntes Verzeichnis nicht oder nicht mindestens zehn Jahre aufbewahrt,</w:t>
      </w:r>
    </w:p>
    <w:p>
      <w:pPr>
        <w:ind w:left="420"/>
      </w:pPr>
      <w:r>
        <w:t xml:space="preserve">7. entgegen § 8 Absatz 4 Nummer 4 persönliche Schutzausrüstung nicht oder nicht rechtzeitig zur Verfügung stellt oder das Verwenden einer dort genannten Schutzausrüstung als Dauermaßnahme vorsieht,</w:t>
      </w:r>
    </w:p>
    <w:p>
      <w:pPr>
        <w:ind w:left="420"/>
      </w:pPr>
      <w:r>
        <w:t xml:space="preserve">7a. entgegen § 8 Absatz 6 Satz 1 die Wirksamkeit einer dort genannten Schutzmaßnahme nicht oder nicht rechtzeitig überprüft,</w:t>
      </w:r>
    </w:p>
    <w:p>
      <w:pPr>
        <w:ind w:left="420"/>
      </w:pPr>
      <w:r>
        <w:t xml:space="preserve">8. entgegen § 9 Absatz 1 Satz 2 Nummer 3 nicht dafür sorgt, dass eine Waschgelegenheit zur Verfügung steht,</w:t>
      </w:r>
    </w:p>
    <w:p>
      <w:pPr>
        <w:ind w:left="420"/>
      </w:pPr>
      <w:r>
        <w:t xml:space="preserve">9. entgegen § 9 Absatz 1 Satz 2 Nummer 4 erster Halbsatz nicht dafür sorgt, dass eine Umkleidemöglichkeit vorhanden ist,</w:t>
      </w:r>
    </w:p>
    <w:p>
      <w:pPr>
        <w:ind w:left="420"/>
      </w:pPr>
      <w:r>
        <w:t xml:space="preserve">10. entgegen § 9 Absatz 3 Satz 2 Nummer 5 erster Halbsatz zur Verfügung gestellte persönliche Schutzausrüstung nicht instand hält,</w:t>
      </w:r>
    </w:p>
    <w:p>
      <w:pPr>
        <w:ind w:left="420"/>
      </w:pPr>
      <w:r>
        <w:t xml:space="preserve">11. entgegen § 9 Absatz 3 Satz 2 Nummer 7 zweiter Halbsatz dort genannte Bereiche nicht oder nicht rechtzeitig einrichtet,</w:t>
      </w:r>
    </w:p>
    <w:p>
      <w:pPr>
        <w:ind w:left="420"/>
      </w:pPr>
      <w:r>
        <w:t xml:space="preserve">12. entgegen § 9 Absatz 4 Satz 2 nicht sicherstellt, dass nur dort genannte Behälter verwendet werden,</w:t>
      </w:r>
    </w:p>
    <w:p>
      <w:pPr>
        <w:ind w:left="420"/>
      </w:pPr>
      <w:r>
        <w:t xml:space="preserve">13. entgegen § 10 Absatz 1 Nummer 1 Buchstabe a oder § 11 Absatz 7 Nummer 1 einen Schutzstufenbereich nicht oder nicht rechtzeitig festlegt oder nicht, nicht richtig oder nicht rechtzeitig kennzeichnet,</w:t>
      </w:r>
    </w:p>
    <w:p>
      <w:pPr>
        <w:ind w:left="420"/>
      </w:pPr>
      <w:r>
        <w:t xml:space="preserve">14. entgegen § 10 Absatz 2 Satz 1 oder § 11 Absatz 7 Nummer 3 eine Person nicht oder nicht rechtzeitig benennt,</w:t>
      </w:r>
    </w:p>
    <w:p>
      <w:pPr>
        <w:ind w:left="420"/>
      </w:pPr>
      <w:r>
        <w:t xml:space="preserve">15. entgegen § 11 Absatz 1 Nummer 1 ein dort genanntes Verfahren nicht oder nicht rechtzeitig festlegt,</w:t>
      </w:r>
    </w:p>
    <w:p>
      <w:pPr>
        <w:ind w:left="420"/>
      </w:pPr>
      <w:r>
        <w:t xml:space="preserve">16. entgegen § 11 Absatz 2 ein dort genanntes Instrument nicht oder nicht rechtzeitig ersetzt,</w:t>
      </w:r>
    </w:p>
    <w:p>
      <w:pPr>
        <w:ind w:left="420"/>
      </w:pPr>
      <w:r>
        <w:t xml:space="preserve">17. entgegen § 11 Absatz 3 Satz 1 nicht sicherstellt, dass eine gebrauchte Kanüle nicht in die Schutzkappe zurückgesteckt wird,</w:t>
      </w:r>
    </w:p>
    <w:p>
      <w:pPr>
        <w:ind w:left="420"/>
      </w:pPr>
      <w:r>
        <w:t xml:space="preserve">18. entgegen § 11 Absatz 4 Satz 1, auch in Verbindung mit Satz 4, ein dort genanntes Instrument nicht oder nicht rechtzeitig entsorgt,</w:t>
      </w:r>
    </w:p>
    <w:p>
      <w:pPr>
        <w:ind w:left="420"/>
      </w:pPr>
      <w:r>
        <w:t xml:space="preserve">19. entgegen § 13 Absatz 1 Satz 2 Nummer 1, 2 oder 3 eine dort genannte Maßnahme nicht oder nicht rechtzeitig festlegt,</w:t>
      </w:r>
    </w:p>
    <w:p>
      <w:pPr>
        <w:ind w:left="420"/>
      </w:pPr>
      <w:r>
        <w:t xml:space="preserve">20. entgegen § 13 Absatz 3 Satz 1 einen innerbetrieblichen Plan nicht, nicht richtig, nicht vollständig oder nicht rechtzeitig erstellt,</w:t>
      </w:r>
    </w:p>
    <w:p>
      <w:pPr>
        <w:ind w:left="420"/>
      </w:pPr>
      <w:r>
        <w:t xml:space="preserve">21. entgegen § 13 Absatz 5 Satz 1 ein Verfahren für Unfallmeldungen und -untersuchungen nicht oder nicht rechtzeitig festlegt,</w:t>
      </w:r>
    </w:p>
    <w:p>
      <w:pPr>
        <w:ind w:left="420"/>
      </w:pPr>
      <w:r>
        <w:t xml:space="preserve">22. entgegen § 14 Absatz 1 Satz 1 eine schriftliche Betriebsanweisung nicht, nicht richtig, nicht vollständig oder nicht rechtzeitig erstellt,</w:t>
      </w:r>
    </w:p>
    <w:p>
      <w:pPr>
        <w:ind w:left="420"/>
      </w:pPr>
      <w:r>
        <w:t xml:space="preserve">23. entgegen § 14 Absatz 2 Satz 1 nicht sicherstellt, dass ein Beschäftigter unterwiesen wird,</w:t>
      </w:r>
    </w:p>
    <w:p>
      <w:pPr>
        <w:ind w:left="420"/>
      </w:pPr>
      <w:r>
        <w:t xml:space="preserve">24. ohne Erlaubnis nach § 15 Absatz 1 Satz 1 eine dort genannte Tätigkeit aufnimmt,</w:t>
      </w:r>
    </w:p>
    <w:p>
      <w:pPr>
        <w:ind w:left="420"/>
      </w:pPr>
      <w:r>
        <w:t xml:space="preserve">25. entgegen § 16 Absatz 1 eine Anzeige nicht, nicht richtig, nicht vollständig oder nicht rechtzeitig erstattet oder</w:t>
      </w:r>
    </w:p>
    <w:p>
      <w:pPr>
        <w:ind w:left="420"/>
      </w:pPr>
      <w:r>
        <w:t xml:space="preserve">26. entgegen § 17 Absatz 1 die zuständige Behörde nicht, nicht richtig, nicht vollständig oder nicht rechtzeitig unterrichtet.</w:t>
      </w:r>
    </w:p>
    <w:p>
      <w:r>
        <w:t xml:space="preserve">(2) Ordnungswidrig im Sinne des § 32 Absatz 1 Nummer 1 des Heimarbeitsgesetzes handelt, wer vorsätzlich oder fahrlässig entgegen § 8 Absatz 7 eine dort genannte Tätigkeit ausüben lässt.</w:t>
      </w:r>
    </w:p>
    <w:p>
      <w:r>
        <w:rPr>
          <w:color w:val="555555"/>
          <w:sz w:val="17"/>
        </w:rPr>
        <w:t xml:space="preserve">Zitiervorschlag: § 20 BioStoffV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https://recht.nulegal.eu/gesetze/BioStoffV%202013/20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