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BioStoffV 2013 — Anwendungsbereich</w:t>
      </w:r>
    </w:p>
    <w:p>
      <w:r>
        <w:rPr>
          <w:color w:val="555555"/>
          <w:sz w:val="18"/>
        </w:rPr>
        <w:t xml:space="preserve">Biostoffverordnung</w:t>
      </w:r>
    </w:p>
    <w:p>
      <w:r>
        <w:rPr>
          <w:color w:val="555555"/>
          <w:sz w:val="18"/>
        </w:rPr>
        <w:t xml:space="preserve">Stand: 01.10.2021 (konsolidierte Textfassung, kein amtliches Inkrafttretensdatum)</w:t>
      </w:r>
    </w:p>
    <w:p>
      <w:r>
        <w:t xml:space="preserve">(1) Diese Verordnung gilt für Tätigkeiten mit Biologischen Arbeitsstoffen (Biostoffen). Sie regelt Maßnahmen zum Schutz von Sicherheit und Gesundheit der Beschäftigten vor Gefährdungen durch diese Tätigkeiten. Sie regelt zugleich auch Maßnahmen zum Schutz von</w:t>
      </w:r>
    </w:p>
    <w:p>
      <w:pPr>
        <w:ind w:left="420"/>
      </w:pPr>
      <w:r>
        <w:t xml:space="preserve">1. Beschäftigten in Arbeitsbereichen, in denen diese durch Tätigkeiten nach § 2 Absatz 7 gefährdet werden können, ohne selbst diese Tätigkeiten auszuüben sowie</w:t>
      </w:r>
    </w:p>
    <w:p>
      <w:pPr>
        <w:ind w:left="420"/>
      </w:pPr>
      <w:r>
        <w:t xml:space="preserve">2. anderen Personen, soweit diese aufgrund des Verwendens von Biostoffen durch Beschäftigte oder durch Unternehmer ohne Beschäftigte gefährdet werden können.</w:t>
      </w:r>
    </w:p>
    <w:p>
      <w:r>
        <w:t xml:space="preserve">(2) Die Verordnung gilt auch für Tätigkeiten, die dem Gentechnikrecht unterliegen, sofern dort keine gleichwertigen oder strengeren Regelungen zum Schutz der Beschäftigten bestehen.</w:t>
      </w:r>
    </w:p>
    <w:p>
      <w:r>
        <w:rPr>
          <w:color w:val="555555"/>
          <w:sz w:val="17"/>
        </w:rPr>
        <w:t xml:space="preserve">Zitiervorschlag: § 1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