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BioSt-NachV 2021 — Übergangsbestimmung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Diese Verordnung ist nicht anzuwenden auf</w:t>
      </w:r>
    </w:p>
    <w:p>
      <w:pPr>
        <w:ind w:left="420"/>
      </w:pPr>
      <w:r>
        <w:t xml:space="preserve">1. die Erzeugung von Biomasse-Brennstoffen, die bis einschließlich 31. Dezember 2021 zur Stromerzeugung eingesetzt werden, und</w:t>
      </w:r>
    </w:p>
    <w:p>
      <w:pPr>
        <w:ind w:left="420"/>
      </w:pPr>
      <w:r>
        <w:t xml:space="preserve">2. aus Biomasse-Brennstoffen erzeugten Strom, der bis einschließlich 31. Dezember 2021 eingespeist wird.</w:t>
      </w:r>
    </w:p>
    <w:p>
      <w:r>
        <w:rPr>
          <w:color w:val="555555"/>
          <w:sz w:val="17"/>
        </w:rPr>
        <w:t xml:space="preserve">Zitiervorschlag: § 55 BioSt-NachV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https://recht.nulegal.eu/gesetze/BioSt-NachV%202021/55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