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BioSt-NachV 2021 — Anforderungen an forstwirtschaftliche Biomasse</w:t>
      </w:r>
    </w:p>
    <w:p>
      <w:r>
        <w:rPr>
          <w:color w:val="555555"/>
          <w:sz w:val="18"/>
        </w:rPr>
        <w:t xml:space="preserve">Biomassestrom-Nachhaltigkeitsverordnung</w:t>
      </w:r>
    </w:p>
    <w:p>
      <w:r>
        <w:rPr>
          <w:color w:val="555555"/>
          <w:sz w:val="18"/>
        </w:rPr>
        <w:t xml:space="preserve">Stand: 08.12.2021 (konsolidierte Textfassung, kein amtliches Inkrafttretensdatum)</w:t>
      </w:r>
    </w:p>
    <w:p>
      <w:r>
        <w:t xml:space="preserve">(1) In dem Staat, in dem die forstwirtschaftliche Biomasse geerntet wurde, die zur Herstellung von flüssigen Biobrennstoffen und Biomasse-Brennstoffen verwendet wird, müssen nationale oder subnationale Rechtsvorschriften auf dem Gebiet der Ernte gelten. Für die Biomasse ist mittels Überwachungs- und Durchsetzungssystemen sicherzustellen, dass</w:t>
      </w:r>
    </w:p>
    <w:p>
      <w:pPr>
        <w:ind w:left="420"/>
      </w:pPr>
      <w:r>
        <w:t xml:space="preserve">1. die Erntetätigkeiten legal sind,</w:t>
      </w:r>
    </w:p>
    <w:p>
      <w:pPr>
        <w:ind w:left="420"/>
      </w:pPr>
      <w:r>
        <w:t xml:space="preserve">2. auf den Ernteflächen nachhaltige Walderneuerung stattfindet,</w:t>
      </w:r>
    </w:p>
    <w:p>
      <w:pPr>
        <w:ind w:left="420"/>
      </w:pPr>
      <w:r>
        <w:t xml:space="preserve">3. Gebiete, die durch internationale oder nationale Rechtsvorschriften oder von der zuständigen Fachbehörde zu Naturschutzzwecken ausgewiesen sind oder wurden, auch in Feuchtgebieten und auf Torfmoorflächen, geschützt sind,</w:t>
      </w:r>
    </w:p>
    <w:p>
      <w:pPr>
        <w:ind w:left="420"/>
      </w:pPr>
      <w:r>
        <w:t xml:space="preserve">4. bei der Ernte auf die Erhaltung der Bodenqualität und der biologischen Vielfalt geachtet wird, um Beeinträchtigungen wie Bodenverdichtungen zu vermeiden, und</w:t>
      </w:r>
    </w:p>
    <w:p>
      <w:pPr>
        <w:ind w:left="420"/>
      </w:pPr>
      <w:r>
        <w:t xml:space="preserve">5. durch die Erntetätigkeiten das langfristige Bestehen des Waldes nicht gefährdet wird und damit seine Produktionskapazitäten erhalten oder verbessert werden.</w:t>
      </w:r>
    </w:p>
    <w:p>
      <w:r>
        <w:t xml:space="preserve">(2) Können Nachweise über die Erfüllung der Anforderungen nach Absatz 1 nicht erbracht werden, so ist durch Bewirtschaftungssysteme auf Ebene des forstwirtschaftlichen Gewinnungsgebiets sicherzustellen, dass die Anforderungen des Absatzes 1 Satz 2 erfüllt sind.</w:t>
      </w:r>
    </w:p>
    <w:p>
      <w:r>
        <w:t xml:space="preserve">(3) Flüssige Biobrennstoffe und Biomasse-Brennstoffe aus forstwirtschaftlicher Biomasse müssen die folgenden Anforderungen für Landnutzung, Landnutzungsänderung und Forstwirtschaft erfüllen:</w:t>
      </w:r>
    </w:p>
    <w:p>
      <w:pPr>
        <w:ind w:left="420"/>
      </w:pPr>
      <w:r>
        <w:t xml:space="preserve">1. das Ursprungsland oder die Ursprungsorganisation der regionalen Wirtschaftsintegration der forstwirtschaftlichen Biomasse ist Vertragspartei des Übereinkommens von Paris und hat einen beabsichtigten nationalen Beitrag zum Rahmenübereinkommen der Vereinten Nationen über Klimaänderungen übermittelt, der Emissionen und den Abbau von Treibhausgasen durch die Landwirtschaft, Forstwirtschaft und Landnutzung abdeckt und der gewährleistet, dass jede Änderung des Kohlenstoffbestands in Verbindung mit der Ernte von Biomasse auf die Verpflichtungen des Landes zur Reduzierung oder Begrenzung der Treibhausgasemissionen im Sinne des beabsichtigten nationalen Beitrags angerechnet wird, oder</w:t>
      </w:r>
    </w:p>
    <w:p>
      <w:pPr>
        <w:ind w:left="420"/>
      </w:pPr>
      <w:r>
        <w:t xml:space="preserve">2. das Ursprungsland oder die Ursprungsorganisation der regionalen Wirtschaftsintegration der forstwirtschaftlichen Biomasse ist Vertragspartei des Übereinkommens von Paris und hat nationale oder subnationale Rechtsvorschriften im Einklang mit Artikel 5 des Übereinkommens von Paris, die im Erntegebiet gelten, um die Kohlenstoffbestände und -senken zu erhalten und zu verbessern, und erbringt Nachweise dafür, dass die für den Sektor Landnutzung, Landnutzungsänderung und Forstwirtschaft gemeldeten Emissionen nicht höher ausfallen als der Emissionsabbau.</w:t>
      </w:r>
    </w:p>
    <w:p>
      <w:r>
        <w:t xml:space="preserve">(4) Können Nachweise über die Erfüllung der Anforderungen nach Absatz 3 nicht erbracht werden, so ist durch Bewirtschaftungssysteme auf Ebene des forstwirtschaftlichen Gewinnungsgebiets sicherzustellen, dass die Niveaus der Kohlenstoffbestände und -senken in den Wäldern erhalten bleiben oder langfristig verbessert werden.</w:t>
      </w:r>
    </w:p>
    <w:p>
      <w:r>
        <w:rPr>
          <w:color w:val="555555"/>
          <w:sz w:val="17"/>
        </w:rPr>
        <w:t xml:space="preserve">Zitiervorschlag: § 5 BioSt-NachV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https://recht.nulegal.eu/gesetze/BioSt-NachV%202021/5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