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BioSt-NachV 2021 — Auskunftsrecht der zuständigen Behörde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zuständige Behörde kann von Anlagenbetreibern, Zertifizierungsstellen, Schnittstellen, Lieferanten und von Zertifizierungssystemen weitere Informationen verlangen, soweit dies erforderlich ist, um</w:t>
      </w:r>
    </w:p>
    <w:p>
      <w:pPr>
        <w:ind w:left="420"/>
      </w:pPr>
      <w:r>
        <w:t xml:space="preserve">1. die Aufgaben nach dieser Verordnung zu erfüllen,</w:t>
      </w:r>
    </w:p>
    <w:p>
      <w:pPr>
        <w:ind w:left="420"/>
      </w:pPr>
      <w:r>
        <w:t xml:space="preserve">2. zu überwachen, ob die Anforderungen nach dieser Verordnung erfüllt werden, oder</w:t>
      </w:r>
    </w:p>
    <w:p>
      <w:pPr>
        <w:ind w:left="420"/>
      </w:pPr>
      <w:r>
        <w:t xml:space="preserve">3. die Berichtspflichten der Bundesrepublik Deutschland gegenüber den Organen der Europäischen Union zu erfüllen.</w:t>
      </w:r>
    </w:p>
    <w:p>
      <w:r>
        <w:rPr>
          <w:color w:val="555555"/>
          <w:sz w:val="17"/>
        </w:rPr>
        <w:t xml:space="preserve">Zitiervorschlag: § 47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