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BioSt-NachV 2021 — Maßnahmen der zuständigen Behörde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Die zuständige Behörde muss dem Netzbetreiber, an dessen Netz die Anlage zur Stromerzeugung angeschlossen ist, Folgendes mitteilen, soweit es sich auf die in dieser Anlage eingesetzten flüssigen Biobrennstoffe und Biomasse-Brennstoffe bezieht:</w:t>
      </w:r>
    </w:p>
    <w:p>
      <w:pPr>
        <w:ind w:left="420"/>
      </w:pPr>
      <w:r>
        <w:t xml:space="preserve">1. Verstöße gegen die Mitteilungspflicht nach § 9,</w:t>
      </w:r>
    </w:p>
    <w:p>
      <w:pPr>
        <w:ind w:left="420"/>
      </w:pPr>
      <w:r>
        <w:t xml:space="preserve">2. Widersprüche zwischen verschiedenen Daten, die im Rahmen des Datenabgleichs bekannt geworden sind, und</w:t>
      </w:r>
    </w:p>
    <w:p>
      <w:pPr>
        <w:ind w:left="420"/>
      </w:pPr>
      <w:r>
        <w:t xml:space="preserve">3. sonstige Zweifel an</w:t>
      </w:r>
    </w:p>
    <w:p>
      <w:pPr>
        <w:ind w:left="780"/>
      </w:pPr>
      <w:r>
        <w:t xml:space="preserve">a) der Wirksamkeit eines Nachhaltigkeitsnachweises, eines Zertifikates oder einer Bescheinigung oder</w:t>
      </w:r>
    </w:p>
    <w:p>
      <w:pPr>
        <w:ind w:left="780"/>
      </w:pPr>
      <w:r>
        <w:t xml:space="preserve">b) der Richtigkeit der darin nachgewiesenen Tatsachen.</w:t>
      </w:r>
    </w:p>
    <w:p>
      <w:r>
        <w:rPr>
          <w:color w:val="555555"/>
          <w:sz w:val="17"/>
        </w:rPr>
        <w:t xml:space="preserve">Zitiervorschlag: § 46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