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BioSt-NachV 2021 — Anforderungen an landwirtschaftliche Biomasse</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Biomasse aus der Landwirtschaft, die zur Herstellung von flüssigen Biobrennstoffen und Biomasse-Brennstoffen verwendet wird, darf nicht von Flächen mit einem hohen Wert für die biologische Vielfalt stammen.</w:t>
      </w:r>
    </w:p>
    <w:p>
      <w:r>
        <w:t xml:space="preserve">(2) Als Flächen mit einem hohen Wert für die biologische Vielfalt gelten alle Flächen, die zum Referenzzeitpunkt oder später folgenden Status hatten, unabhängig davon, ob die Flächen diesen Status noch haben:</w:t>
      </w:r>
    </w:p>
    <w:p>
      <w:pPr>
        <w:ind w:left="420"/>
      </w:pPr>
      <w:r>
        <w:t xml:space="preserve">1. bewaldete Flächen,</w:t>
      </w:r>
    </w:p>
    <w:p>
      <w:pPr>
        <w:ind w:left="420"/>
      </w:pPr>
      <w:r>
        <w:t xml:space="preserve">2. Grünland mit großer biologischer Vielfalt oder</w:t>
      </w:r>
    </w:p>
    <w:p>
      <w:pPr>
        <w:ind w:left="420"/>
      </w:pPr>
      <w:r>
        <w:t xml:space="preserve">3. Naturschutzzwecken dienende Flächen.</w:t>
      </w:r>
    </w:p>
    <w:p>
      <w:r>
        <w:t xml:space="preserve">(3) Biomasse aus der Landwirtschaft, die zur Herstellung von flüssigen Biobrennstoffen und Biomasse-Brennstoffen verwendet wird, darf nicht von Flächen mit einem hohen oberirdischen oder unterirdischen Kohlenstoffbestand stammen. Als Flächen mit einem hohen oberirdischen oder unterirdischen Kohlenstoffbestand gelten alle Flächen, die zum Referenzzeitpunkt oder später folgenden Status hatten und diesen Status zum Zeitpunkt von Anbau und Ernte der Biomasse nicht mehr haben:</w:t>
      </w:r>
    </w:p>
    <w:p>
      <w:pPr>
        <w:ind w:left="420"/>
      </w:pPr>
      <w:r>
        <w:t xml:space="preserve">1. Feuchtgebiete oder</w:t>
      </w:r>
    </w:p>
    <w:p>
      <w:pPr>
        <w:ind w:left="420"/>
      </w:pPr>
      <w:r>
        <w:t xml:space="preserve">2. kontinuierlich bewaldete Gebiete.</w:t>
      </w:r>
    </w:p>
    <w:p>
      <w:r>
        <w:t xml:space="preserve">(4) Biomasse aus der Landwirtschaft, die zur Herstellung von flüssigen Biobrennstoffen und Biomasse-Brennstoffen verwendet wird, darf nicht von Flächen stammen, die zum Referenzzeitpunkt oder später Torfmoor waren. Satz 1 ist nicht anzuwenden, wenn Anbau und Ernte der Biomasse keine Entwässerung von Flächen erfordert haben.</w:t>
      </w:r>
    </w:p>
    <w:p>
      <w:r>
        <w:t xml:space="preserve">(5) Für Biomasse aus Abfällen oder Reststoffen der Landwirtschaft, die zur Herstellung von flüssigen Biobrennstoffen oder von Biomasse-Brennstoffen verwendet wird, muss die Einhaltung von Überwachungs- und Bewirtschaftungsplänen nachgewiesen werden, um eine Beeinträchtigung der Bodenqualität und des Kohlenstoffbestands zu vermeiden. Informationen darüber, wie die Beeinträchtigung überwacht und gesteuert wird, sind nach Maßgabe der §§ 14 bis 19 zu melden.</w:t>
      </w:r>
    </w:p>
    <w:p>
      <w:r>
        <w:t xml:space="preserve">(6) Für die Beurteilung der Anforderungen an den Schutz natürlicher Lebensräume nach den Absätzen 2 bis 4 ist Referenzzeitpunkt der 1. Januar 2008. Sofern keine hinreichenden Daten vorliegen, mit denen die Erfüllung der Anforderungen für diesen Tag nachgewiesen werden kann, ist als Referenzzeitpunkt ein anderer Tag im Januar 2008 zu wählen.</w:t>
      </w:r>
    </w:p>
    <w:p>
      <w:r>
        <w:t xml:space="preserve">(7) Absatz 1 ist nicht anzuwenden, sofern Anbau und Ernte der Biomasse auf Naturschutzzwecken dienenden Flächen diesen Naturschutzzwecken nachweislich nicht zuwiderlaufen.</w:t>
      </w:r>
    </w:p>
    <w:p>
      <w:r>
        <w:rPr>
          <w:color w:val="555555"/>
          <w:sz w:val="17"/>
        </w:rPr>
        <w:t xml:space="preserve">Zitiervorschlag: § 4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