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32 BioSt-NachV 2021 — Widerruf der Anerkennung</w:t>
      </w:r>
    </w:p>
    <w:p>
      <w:r>
        <w:rPr>
          <w:color w:val="555555"/>
          <w:sz w:val="18"/>
        </w:rPr>
        <w:t xml:space="preserve">Biomassestrom-Nachhaltigkeitsverordnung</w:t>
      </w:r>
    </w:p>
    <w:p>
      <w:r>
        <w:rPr>
          <w:color w:val="555555"/>
          <w:sz w:val="18"/>
        </w:rPr>
        <w:t xml:space="preserve">Stand: 08.12.2021 (konsolidierte Textfassung, kein amtliches Inkrafttretensdatum)</w:t>
      </w:r>
    </w:p>
    <w:p>
      <w:r>
        <w:t xml:space="preserve">Die Anerkennung einer Zertifizierungsstelle soll widerrufen werden, wenn die Gewähr für eine ordnungsgemäße Durchführung der Aufgaben nach dieser Verordnung nicht mehr gegeben ist. Die Anerkennung soll insbesondere widerrufen werden, wenn</w:t>
      </w:r>
    </w:p>
    <w:p>
      <w:pPr>
        <w:ind w:left="420"/>
      </w:pPr>
      <w:r>
        <w:t xml:space="preserve">1. eine Voraussetzung nach § 28 Absatz 1 nicht oder nicht mehr erfüllt ist oder</w:t>
      </w:r>
    </w:p>
    <w:p>
      <w:pPr>
        <w:ind w:left="420"/>
      </w:pPr>
      <w:r>
        <w:t xml:space="preserve">2. die Zertifizierungsstelle ihre Pflichten nach den §§ 33 bis 39 nicht, nicht richtig, nicht vollständig oder nicht rechtzeitig erfüllt.</w:t>
      </w:r>
    </w:p>
    <w:p>
      <w:r>
        <w:t xml:space="preserve">Die Anerkennung kann auch widerrufen werden, wenn eine Kontrolle vor Ort nicht sichergestellt ist. Die Vorschriften des Verwaltungsverfahrensgesetzes über die Rücknahme und den Widerruf von Verwaltungsakten bleiben im Übrigen unberührt.</w:t>
      </w:r>
    </w:p>
    <w:p>
      <w:r>
        <w:rPr>
          <w:color w:val="555555"/>
          <w:sz w:val="17"/>
        </w:rPr>
        <w:t xml:space="preserve">Zitiervorschlag: § 32 BioSt-NachV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https://recht.nulegal.eu/gesetze/BioSt-NachV%202021/32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