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BioSt-NachV 2021 — Anerkannte Zertifizierungsstellen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Im Sinne dieser Verordnung sind anerkannte Zertifizierungsstellen:</w:t>
      </w:r>
    </w:p>
    <w:p>
      <w:pPr>
        <w:ind w:left="420"/>
      </w:pPr>
      <w:r>
        <w:t xml:space="preserve">1. Zertifizierungsstellen, solange und soweit sie nach § 28 Absatz 1 oder § 43 Absatz 1 anerkannt sind,</w:t>
      </w:r>
    </w:p>
    <w:p>
      <w:pPr>
        <w:ind w:left="420"/>
      </w:pPr>
      <w:r>
        <w:t xml:space="preserve">2. Zertifizierungsstellen nach § 41 und</w:t>
      </w:r>
    </w:p>
    <w:p>
      <w:pPr>
        <w:ind w:left="420"/>
      </w:pPr>
      <w:r>
        <w:t xml:space="preserve">3. Zertifizierungsstellen nach § 42.</w:t>
      </w:r>
    </w:p>
    <w:p>
      <w:r>
        <w:rPr>
          <w:color w:val="555555"/>
          <w:sz w:val="17"/>
        </w:rPr>
        <w:t xml:space="preserve">Zitiervorschlag: § 27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