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BioSt-NachV 2021 — Anerkannte Zertifikate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Im Sinne dieser Verordnung anerkannte Zertifikate sind:</w:t>
      </w:r>
    </w:p>
    <w:p>
      <w:pPr>
        <w:ind w:left="420"/>
      </w:pPr>
      <w:r>
        <w:t xml:space="preserve">1. Zertifikate, solange und soweit sie nach § 21 ausgestellt worden sind,</w:t>
      </w:r>
    </w:p>
    <w:p>
      <w:pPr>
        <w:ind w:left="420"/>
      </w:pPr>
      <w:r>
        <w:t xml:space="preserve">2. Zertifikate nach § 25 und</w:t>
      </w:r>
    </w:p>
    <w:p>
      <w:pPr>
        <w:ind w:left="420"/>
      </w:pPr>
      <w:r>
        <w:t xml:space="preserve">3. Zertifikate nach § 26.</w:t>
      </w:r>
    </w:p>
    <w:p>
      <w:r>
        <w:rPr>
          <w:color w:val="555555"/>
          <w:sz w:val="17"/>
        </w:rPr>
        <w:t xml:space="preserve">Zitiervorschlag: § 20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