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BioSt-NachV 2021 — Unwirksamkeit von Nachhaltigkeitsnachweisen</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Nachhaltigkeitsnachweise sind unwirksam, wenn</w:t>
      </w:r>
    </w:p>
    <w:p>
      <w:pPr>
        <w:ind w:left="420"/>
      </w:pPr>
      <w:r>
        <w:t xml:space="preserve">1. sie eine oder mehrere Angaben nach § 14 Absatz 1 nicht enthalten oder</w:t>
      </w:r>
    </w:p>
    <w:p>
      <w:pPr>
        <w:ind w:left="420"/>
      </w:pPr>
      <w:r>
        <w:t xml:space="preserve">2. sie gefälscht sind oder eine unrichtige Angabe enthalten.</w:t>
      </w:r>
    </w:p>
    <w:p>
      <w:r>
        <w:t xml:space="preserve">(2) Sofern der Nachhaltigkeitsnachweis ausschließlich nach Absatz 1 Nummer 2 unwirksam ist, entfällt der Anspruch auf die Zahlung nach den Bestimmungen für Strom aus Biomasse des Erneuerbare-Energien-Gesetzes in der für die Anlage jeweils anzuwendenden Fassung für den Strom aus der Menge der flüssigen Biobrennstoffe und Biomasse-Brennstoffe, auf die sich der unwirksame Nachhaltigkeitsnachweis bezieht. Der Anspruch auf den Bonus für Strom aus nachwachsenden Rohstoffen nach § 27 Absatz 4 Nummer 2 des Erneuerbare-Energien-Gesetzes in der am 31. Dezember 2011 geltenden Fassung entfällt darüber hinaus endgültig, wenn den Anlagenbetreibern die Gründe für die Unwirksamkeit des Nachhaltigkeitsnachweises zum Zeitpunkt des Einsatzes der Menge Biomasse, auf die sich der unwirksame Nachhaltigkeitsnachweis bezieht, bekannt waren oder sie bei Anwendung der im Verkehr üblichen Sorgfalt die Unwirksamkeit hätten erkennen können.</w:t>
      </w:r>
    </w:p>
    <w:p>
      <w:r>
        <w:rPr>
          <w:color w:val="555555"/>
          <w:sz w:val="17"/>
        </w:rPr>
        <w:t xml:space="preserve">Zitiervorschlag: § 19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