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BioSt-NachV 2021 — Anerkannte Nachhaltigkeitsnachweise auf Grund der Biokraftstoff-Nachhaltigkeitsverordnung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Nachhaltigkeitsnachweise gelten auch als anerkannt, solange und soweit sie auf Grund der Biokraftstoff-Nachhaltigkeitsverordnung vom 2. Dezember 2021 (BGBl. I S. 5126, 5143) in der jeweils geltenden Fassung anerkannt sind.</w:t>
      </w:r>
    </w:p>
    <w:p>
      <w:r>
        <w:t xml:space="preserve">(2) Abweichend von Absatz 1 gelten Nachhaltigkeitsnachweise nicht als anerkannt, sobald eine Vorlage nach den Bestimmungen der Biokraftstoff-Nachhaltigkeitsverordnung bei der Biokraftstoffquotenstelle erfolgt ist.</w:t>
      </w:r>
    </w:p>
    <w:p>
      <w:r>
        <w:t xml:space="preserve">(3) Die §§ 15 und 19 sind entsprechend anzuwenden.</w:t>
      </w:r>
    </w:p>
    <w:p>
      <w:r>
        <w:rPr>
          <w:color w:val="555555"/>
          <w:sz w:val="17"/>
        </w:rPr>
        <w:t xml:space="preserve">Zitiervorschlag: § 16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