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BioSt-NachV 2021 — Lieferung auf Grund von Massenbilanzsystemen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(1) Um die Herkunft der flüssigen Biobrennstoffe und Biomasse-Brennstoffe von der Schnittstelle, die den Nachhaltigkeitsnachweis ausgestellt hat, nachzuweisen,</w:t>
      </w:r>
    </w:p>
    <w:p>
      <w:pPr>
        <w:ind w:left="420"/>
      </w:pPr>
      <w:r>
        <w:t xml:space="preserve">1. müssen die flüssigen Biobrennstoffe und Biomasse-Brennstoffe von dieser Schnittstelle bis zu dem Anlagenbetreiber ausschließlich durch Lieferanten geliefert werden, die die Lieferung der flüssigen Biobrennstoffe und Biomasse-Brennstoffe in einem Massenbilanzsystem dokumentieren, das die Anforderungen nach § 12 Absatz 2 erfüllt, und</w:t>
      </w:r>
    </w:p>
    <w:p>
      <w:pPr>
        <w:ind w:left="420"/>
      </w:pPr>
      <w:r>
        <w:t xml:space="preserve">2. muss die Kontrolle der Erfüllung der Anforderung nach Nummer 1 sichergestellt sein.</w:t>
      </w:r>
    </w:p>
    <w:p>
      <w:r>
        <w:t xml:space="preserve">(2) Die Anforderungen nach Absatz 1 gelten als erfüllt, wenn</w:t>
      </w:r>
    </w:p>
    <w:p>
      <w:pPr>
        <w:ind w:left="420"/>
      </w:pPr>
      <w:r>
        <w:t xml:space="preserve">1. sich alle Lieferanten verpflichtet haben, die Anforderungen eines nach dieser Verordnung anerkannten Zertifizierungssystems zu erfüllen, sofern dieses auch Anforderungen an die Lieferung flüssiger Biobrennstoffe und Biomasse-Brennstoffe enthält, und</w:t>
      </w:r>
    </w:p>
    <w:p>
      <w:pPr>
        <w:ind w:left="420"/>
      </w:pPr>
      <w:r>
        <w:t xml:space="preserve">2. eine der folgenden Voraussetzungen vorliegt:</w:t>
      </w:r>
    </w:p>
    <w:p>
      <w:pPr>
        <w:ind w:left="780"/>
      </w:pPr>
      <w:r>
        <w:t xml:space="preserve">a) alle Lieferanten in der elektronischen Datenbank der zuständigen Behörde zum Nachweis der Erfüllung der Anforderungen nach Absatz 1 Folgendes dokumentieren:</w:t>
      </w:r>
    </w:p>
    <w:p>
      <w:pPr>
        <w:ind w:left="1140"/>
      </w:pPr>
      <w:r>
        <w:t xml:space="preserve">aa) den Erhalt und die Weitergabe der flüssigen Biobrennstoffe und Biomasse-Brennstoffe einschließlich der Angaben des Nachhaltigkeitsnachweises sowie</w:t>
      </w:r>
    </w:p>
    <w:p>
      <w:pPr>
        <w:ind w:left="1140"/>
      </w:pPr>
      <w:r>
        <w:t xml:space="preserve">bb) den Ort und das Datum des Erhalts und der Weitergabe der Biomasse, oder</w:t>
      </w:r>
    </w:p>
    <w:p>
      <w:pPr>
        <w:ind w:left="780"/>
      </w:pPr>
      <w:r>
        <w:t xml:space="preserve">b) die Erfüllung der Anforderungen an die Lieferungen von Biomasse in einem Massenbilanzsystem nach Maßgabe der Biokraftstoff-Nachhaltigkeitsverordnung vom 2. Dezember 2021 (BGBl. I S. 5126, 5143) in der jeweils geltenden Fassung, kontrolliert wird.</w:t>
      </w:r>
    </w:p>
    <w:p>
      <w:r>
        <w:t xml:space="preserve">Bei der Dokumentationspflicht nach Satz 1 Nummer 2 Buchstabe a sind die berechtigten Interessen der Schnittstellen und Lieferanten, insbesondere ihre Geschäftsgeheimnisse, zu wahren.</w:t>
      </w:r>
    </w:p>
    <w:p>
      <w:r>
        <w:t xml:space="preserve">(3) Die Erfüllung der Anforderungen nach Absatz 1 ist von dem Lieferanten, der die flüssigen Biobrennstoffe und Biomasse-Brennstoffe an die Anlagenbetreiber liefert, in dem Nachhaltigkeitsnachweis zu bestätigen.</w:t>
      </w:r>
    </w:p>
    <w:p>
      <w:r>
        <w:rPr>
          <w:color w:val="555555"/>
          <w:sz w:val="17"/>
        </w:rPr>
        <w:t xml:space="preserve">Zitiervorschlag: § 13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