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BioSt-NachV 2021 — Anwendungsbereich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Diese Verordnung ist anzuwenden auf</w:t>
      </w:r>
    </w:p>
    <w:p>
      <w:pPr>
        <w:ind w:left="420"/>
      </w:pPr>
      <w:r>
        <w:t xml:space="preserve">1. die nach dem Erneuerbare-Energien-Gesetz vom 21. Juli 2014 (BGBl. I S. 1066), das zuletzt durch Artikel 11 des Gesetzes vom 16. Juli 2021 (BGBl. I S. 3026) geändert worden ist, in der jeweils geltenden Fassung zur Erzeugung von Strom eingesetzten flüssigen Biobrennstoffe,</w:t>
      </w:r>
    </w:p>
    <w:p>
      <w:pPr>
        <w:ind w:left="420"/>
      </w:pPr>
      <w:r>
        <w:t xml:space="preserve">2. die nach dem Erneuerbare-Energien-Gesetz zur Erzeugung von Strom eingesetzten festen Biomasse-Brennstoffe, die in Anlagen im Sinne von § 3 Nummer 1 und 12 des Erneuerbare-Energien-Gesetzes mit einer Gesamtfeuerungswärmeleistung von 20 Megawatt oder mehr verwendet werden,</w:t>
      </w:r>
    </w:p>
    <w:p>
      <w:pPr>
        <w:ind w:left="420"/>
      </w:pPr>
      <w:r>
        <w:t xml:space="preserve">3. die nach dem Erneuerbare-Energien-Gesetz zur Erzeugung von Strom eingesetzten gasförmigen Biomasse-Brennstoffe, die in Anlagen im Sinne von § 3 Nummer 1 und 12 des Erneuerbare-Energien-Gesetzes mit einer Gesamtfeuerungswärmeleistung von 2 Megawatt oder mehr verwendet werden,</w:t>
      </w:r>
    </w:p>
    <w:p>
      <w:pPr>
        <w:ind w:left="420"/>
      </w:pPr>
      <w:r>
        <w:t xml:space="preserve">4. den nach dem Erneuerbare-Energien-Gesetz aus flüssigen Biobrennstoffen und Biomasse-Brennstoffen erzeugten Strom.</w:t>
      </w:r>
    </w:p>
    <w:p>
      <w:r>
        <w:rPr>
          <w:color w:val="555555"/>
          <w:sz w:val="17"/>
        </w:rPr>
        <w:t xml:space="preserve">Zitiervorschlag: § 1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