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BioNachGebV</w:t>
      </w:r>
    </w:p>
    <w:p>
      <w:r>
        <w:rPr>
          <w:color w:val="555555"/>
          <w:sz w:val="18"/>
        </w:rPr>
        <w:t xml:space="preserve">Biomassestrom- sowie Biokraftstoff-Nachhaltigkeitsgebührenverordnung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Es verordnen</w:t>
      </w:r>
    </w:p>
    <w:p>
      <w:pPr>
        <w:ind w:left="420"/>
      </w:pPr>
      <w:r>
        <w:t xml:space="preserve">– das Bundesministerium für Ernährung, Landwirtschaft und Verbraucherschutz im Einvernehmen mit dem Bundesministerium für Umwelt, Naturschutz und Reaktorsicherheit und dem Bundesministerium der Finanzen auf Grund des § 63a Absatz 2 Nummer 2 des Erneuerbare-Energien-Gesetzes, der zuletzt durch Artikel 1 Nummer 40 Buchstabe a des Gesetzes vom 28. Juli 2011 (BGBl. I S. 1634) geändert worden ist, sowie</w:t>
      </w:r>
    </w:p>
    <w:p>
      <w:pPr>
        <w:ind w:left="420"/>
      </w:pPr>
      <w:r>
        <w:t xml:space="preserve">– das Bundesministerium der Finanzen im Einvernehmen mit dem Bundesministerium für Umwelt, Naturschutz und Reaktorsicherheit und dem Bundesministerium für Ernährung, Landwirtschaft und Verbraucherschutz auf Grund des § 37e Absatz 2 Satz 1 in Verbindung mit Absatz 1 des Bundes-Immissionsschutzgesetzes, der durch Artikel 1 Nummer 7 des Gesetzes vom 15. Juli 2009 (BGBl. I S. 1804) eingefügt worden ist, und des § 66a Absatz 2 Satz 1 in Verbindung mit Absatz 1 des Energiesteuergesetzes, der durch Artikel 2 Nummer 5 des Gesetzes vom 15. Juli 2009 (BGBl. I S. 1804) eingefügt worden ist,</w:t>
      </w:r>
    </w:p>
    <w:p>
      <w:r>
        <w:t xml:space="preserve">jeweils in Verbindung mit dem 2. Abschnitt des Verwaltungskostengesetzes vom 23. Juni 1970 (BGBl. I S. 821):</w:t>
      </w:r>
    </w:p>
    <w:p>
      <w:r>
        <w:rPr>
          <w:color w:val="555555"/>
          <w:sz w:val="17"/>
        </w:rPr>
        <w:t xml:space="preserve">Zitiervorschlag: Eingangsformel BioNachGebV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https://recht.nulegal.eu/gesetze/BioNachGebV/eingangsformel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