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BioNachGebV — Inkrafttreten</w:t>
      </w:r>
    </w:p>
    <w:p>
      <w:r>
        <w:rPr>
          <w:color w:val="555555"/>
          <w:sz w:val="18"/>
        </w:rPr>
        <w:t xml:space="preserve">Biomassestrom- sowie Biokraftstoff-Nachhaltigkeitsgebührenverordnung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BioNachGebV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https://recht.nulegal.eu/gesetze/BioNachGebV/2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