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BioNachGebV — Erhebung von Gebühren</w:t>
      </w:r>
    </w:p>
    <w:p>
      <w:r>
        <w:rPr>
          <w:color w:val="555555"/>
          <w:sz w:val="18"/>
        </w:rPr>
        <w:t xml:space="preserve">Biomassestrom- sowie Biokraftstoff-Nachhaltigkeitsgebührenverordnung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Bundesanstalt für Landwirtschaft und Ernährung erhebt nach dieser Verordnung Gebühren zur Deckung des Verwaltungsaufwands für Amtshandlungen</w:t>
      </w:r>
    </w:p>
    <w:p>
      <w:pPr>
        <w:ind w:left="420"/>
      </w:pPr>
      <w:r>
        <w:t xml:space="preserve">1. nach den §§ 33, 36 Satz 2, §§ 43, 55 Absatz 1 und § 60 der Biomassestrom-Nachhaltigkeitsverordnung vom 23. Juli 2009 (BGBl. I S. 2174), die zuletzt durch Artikel 2 Absatz 70 des Gesetzes vom 22. Dezember 2011 (BGBl. I S. 3044) geändert worden ist, in der jeweils geltenden Fassung, sowie</w:t>
      </w:r>
    </w:p>
    <w:p>
      <w:pPr>
        <w:ind w:left="420"/>
      </w:pPr>
      <w:r>
        <w:t xml:space="preserve">2. nach den §§ 33, 36 Satz 2, §§ 43, 55 Absatz 1 und § 59 der Biokraftstoff-Nachhaltigkeitsverordnung vom 30. September 2009 (BGBl. I S. 3182), die zuletzt durch Artikel 2 Absatz 71 des Gesetzes vom 22. Dezember 2011 (BGBl. I S. 3044) geändert worden ist, in der jeweils geltenden Fassung.</w:t>
      </w:r>
    </w:p>
    <w:p>
      <w:r>
        <w:t xml:space="preserve">(2) Die Gebühren nach Absatz 1 Nummer 1 oder Nummer 2 werden erhoben</w:t>
      </w:r>
    </w:p>
    <w:p>
      <w:pPr>
        <w:ind w:left="420"/>
      </w:pPr>
      <w:r>
        <w:t xml:space="preserve">1. von Zertifizierungssystemen im Sinne des § 32 Nummer 1 der Biomassestrom-Nachhaltigkeitsverordnung und des § 32 Nummer 1 der Biokraftstoff-Nachhaltigkeitsverordnung und</w:t>
      </w:r>
    </w:p>
    <w:p>
      <w:pPr>
        <w:ind w:left="420"/>
      </w:pPr>
      <w:r>
        <w:t xml:space="preserve">2. von Zertifizierungsstellen im Sinne des § 42 Nummer 1 der Biomassestrom-Nachhaltigkeitsverordnung und des § 42 Nummer 1 der Biokraftstoff-Nachhaltigkeitsverordnung.</w:t>
      </w:r>
    </w:p>
    <w:p>
      <w:r>
        <w:t xml:space="preserve">(3) Ist ein Zertifizierungssystem im Sinne des Absatzes 2 Nummer 1 nicht rechtsfähig, wird die Gebühr von der natürlichen oder juristischen Person, die für das Zertifizierungssystem organisatorisch verantwortlich ist, erhoben.</w:t>
      </w:r>
    </w:p>
    <w:p>
      <w:r>
        <w:t xml:space="preserve">(4) Die gebührenpflichtigen Tatbestände und die Gebührensätze ergeben sich aus dem Gebührenverzeichnis der Anlage zu dieser Verordnung.</w:t>
      </w:r>
    </w:p>
    <w:p>
      <w:r>
        <w:rPr>
          <w:color w:val="555555"/>
          <w:sz w:val="17"/>
        </w:rPr>
        <w:t xml:space="preserve">Zitiervorschlag: § 1 BioNachGebV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https://recht.nulegal.eu/gesetze/BioNachGebV/1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