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BioMatHintV</w:t>
      </w:r>
    </w:p>
    <w:p>
      <w:r>
        <w:rPr>
          <w:color w:val="555555"/>
          <w:sz w:val="18"/>
        </w:rPr>
        <w:t xml:space="preserve">Biomaterial-Hinterlegungsverordnung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Abs. 8 des Patentgesetzes in der Fassung der Bekanntmachung vom 16. Dezember 1980 (BGBl. 1981 I S. 1), der zuletzt durch Artikel 7 Nr. 16 Buchstabe b und c des Gesetzes vom 13. Dezember 2001 (BGBl. I S. 3656) geändert worden ist, und des § 4 Abs. 7 des Gebrauchsmustergesetzes in der Fassung der Bekanntmachung vom 28. August 1986 (BGBl. I S. 1455), der zuletzt durch Artikel 8 Nr. 1 Buchstabe a, c und d des Gesetzes vom 13. Dezember 2001 (BGBl. I S. 3656) geändert worden ist, jeweils in Verbindung mit § 1 Abs. 2 der DPMA-Verordnung vom 1. April 2004 (BGBl. I S. 514), verordnet das Deutsche Patent- und Markenamt:</w:t>
      </w:r>
    </w:p>
    <w:p>
      <w:r>
        <w:rPr>
          <w:color w:val="555555"/>
          <w:sz w:val="17"/>
        </w:rPr>
        <w:t xml:space="preserve">Zitiervorschlag: Eingangsformel BioMatHintV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https://recht.nulegal.eu/gesetze/BioMatHintV/eingangsformel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