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BioMatHintV — Erneute Hinterlegung</w:t>
      </w:r>
    </w:p>
    <w:p>
      <w:r>
        <w:rPr>
          <w:color w:val="555555"/>
          <w:sz w:val="18"/>
        </w:rPr>
        <w:t xml:space="preserve">Biomaterial-Hinterlegungsverordnung</w:t>
      </w:r>
    </w:p>
    <w:p>
      <w:r>
        <w:rPr>
          <w:color w:val="555555"/>
          <w:sz w:val="18"/>
        </w:rPr>
        <w:t xml:space="preserve">Stand: 10.06.2019 (konsolidierte Textfassung, kein amtliches Inkrafttretensdatum)</w:t>
      </w:r>
    </w:p>
    <w:p>
      <w:r>
        <w:t xml:space="preserve">(1) Ist das nach dieser Verordnung hinterlegte biologische Material bei der anerkannten Hinterlegungsstelle nicht mehr zugänglich, so ist eine erneute Hinterlegung unter denselben Bedingungen wie denen des Budapester Vertrags zulässig und auf Anforderung der Hinterlegungsstelle vorzunehmen.</w:t>
      </w:r>
    </w:p>
    <w:p>
      <w:r>
        <w:t xml:space="preserve">(2) Das biologische Material ist innerhalb einer Frist von drei Monaten nach der Anforderung der Hinterlegungsstelle nach Absatz 1 erneut zu hinterlegen.</w:t>
      </w:r>
    </w:p>
    <w:p>
      <w:r>
        <w:t xml:space="preserve">(3) Jeder erneuten Hinterlegung ist eine vom Hinterleger unterzeichnete Erklärung beizufügen, in der bestätigt wird, dass das erneut hinterlegte biologische Material das Gleiche wie das ursprünglich hinterlegte Material ist.</w:t>
      </w:r>
    </w:p>
    <w:p>
      <w:r>
        <w:rPr>
          <w:color w:val="555555"/>
          <w:sz w:val="17"/>
        </w:rPr>
        <w:t xml:space="preserve">Zitiervorschlag: § 9 BioMatHintV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https://recht.nulegal.eu/gesetze/BioMatHintV/9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