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BioMatHintV — Aufbewahrungsdauer</w:t>
      </w:r>
    </w:p>
    <w:p>
      <w:r>
        <w:rPr>
          <w:color w:val="555555"/>
          <w:sz w:val="18"/>
        </w:rPr>
        <w:t xml:space="preserve">Biomaterial-Hinterlegungsverordnung</w:t>
      </w:r>
    </w:p>
    <w:p>
      <w:r>
        <w:rPr>
          <w:color w:val="555555"/>
          <w:sz w:val="18"/>
        </w:rPr>
        <w:t xml:space="preserve">Stand: 10.06.2019 (konsolidierte Textfassung, kein amtliches Inkrafttretensdatum)</w:t>
      </w:r>
    </w:p>
    <w:p>
      <w:r>
        <w:t xml:space="preserve">Das hinterlegte biologische Material ist fünf Jahre ab dem Eingang des letzten Antrags auf Abgabe einer Probe aufzubewahren, mindestens jedoch fünf Jahre über die gesetzlich bestimmte maximale Schutzdauer aller Schutzrechte, die auf das hinterlegte biologische Material Bezug nehmen, hinaus.</w:t>
      </w:r>
    </w:p>
    <w:p>
      <w:r>
        <w:rPr>
          <w:color w:val="555555"/>
          <w:sz w:val="17"/>
        </w:rPr>
        <w:t xml:space="preserve">Zitiervorschlag: § 7 BioMatHintV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https://recht.nulegal.eu/gesetze/BioMatHintV/7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