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BioMatHintV — Verpflichtungserklärung</w:t>
      </w:r>
    </w:p>
    <w:p>
      <w:r>
        <w:rPr>
          <w:color w:val="555555"/>
          <w:sz w:val="18"/>
        </w:rPr>
        <w:t xml:space="preserve">Biomaterial-Hinterlegungsverordnung</w:t>
      </w:r>
    </w:p>
    <w:p>
      <w:r>
        <w:rPr>
          <w:color w:val="555555"/>
          <w:sz w:val="18"/>
        </w:rPr>
        <w:t xml:space="preserve">Stand: 10.06.2019 (konsolidierte Textfassung, kein amtliches Inkrafttretensdatum)</w:t>
      </w:r>
    </w:p>
    <w:p>
      <w:r>
        <w:t xml:space="preserve">(1) Eine Probe wird nur dann herausgegeben, wenn der Antragsteller sich gegenüber dem Anmelder und im Fall der Dritthinterlegung auch gegenüber dem Hinterleger verpflichtet, für die Dauer der Wirkung sämtlicher Schutzrechte, die auf das hinterlegte biologische Material Bezug nehmen,</w:t>
      </w:r>
    </w:p>
    <w:p>
      <w:pPr>
        <w:ind w:left="420"/>
      </w:pPr>
      <w:r>
        <w:t xml:space="preserve">1. Dritten keine Probe des hinterlegten biologischen Materials oder eines daraus abgeleiteten Materials zugänglich zu machen und</w:t>
      </w:r>
    </w:p>
    <w:p>
      <w:pPr>
        <w:ind w:left="420"/>
      </w:pPr>
      <w:r>
        <w:t xml:space="preserve">2. keine Probe des hinterlegten biologischen Materials oder eines daraus abgeleiteten Materials zu anderen als zu Versuchszwecken zu verwenden, es sei denn, der Anmelder oder Inhaber des Schutzrechts, im Fall der Dritthinterlegung zusätzlich der Hinterleger, verzichten ausdrücklich auf eine derartige Verpflichtung. Die Verpflichtung, das biologische Material nur zu Versuchszwecken zu verwenden, ist hinfällig, soweit der Antragsteller dieses Material aufgrund einer Zwangslizenz oder einer staatlichen Benutzungsanordnung verwendet.</w:t>
      </w:r>
    </w:p>
    <w:p>
      <w:r>
        <w:t xml:space="preserve">(2) Wird die Probe an einen unabhängigen Sachverständigen herausgegeben, so hat dieser die Verpflichtungserklärung nach Absatz 1 abzugeben. Gegenüber dem Sachverständigen ist der Antragsteller als Dritter im Sinne des Absatzes 1 Nr. 1 anzusehen.</w:t>
      </w:r>
    </w:p>
    <w:p>
      <w:r>
        <w:rPr>
          <w:color w:val="555555"/>
          <w:sz w:val="17"/>
        </w:rPr>
        <w:t xml:space="preserve">Zitiervorschlag: § 6 BioMatHintV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https://recht.nulegal.eu/gesetze/BioMatHintV/6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