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BioMatHintV — Zugang zu biologischem Material</w:t>
      </w:r>
    </w:p>
    <w:p>
      <w:r>
        <w:rPr>
          <w:color w:val="555555"/>
          <w:sz w:val="18"/>
        </w:rPr>
        <w:t xml:space="preserve">Biomaterial-Hinterlegungsverordnung</w:t>
      </w:r>
    </w:p>
    <w:p>
      <w:r>
        <w:rPr>
          <w:color w:val="555555"/>
          <w:sz w:val="18"/>
        </w:rPr>
        <w:t xml:space="preserve">Stand: 10.06.2019 (konsolidierte Textfassung, kein amtliches Inkrafttretensdatum)</w:t>
      </w:r>
    </w:p>
    <w:p>
      <w:r>
        <w:t xml:space="preserve">(1) Das hinterlegte biologische Material wird durch Herausgabe einer Probe auf Antrag zugänglich gemacht</w:t>
      </w:r>
    </w:p>
    <w:p>
      <w:pPr>
        <w:ind w:left="420"/>
      </w:pPr>
      <w:r>
        <w:t xml:space="preserve">1. bis zur Veröffentlichung des Offenlegungshinweises nach § 32 Abs. 5 des Patentgesetzes oder bis zur Eintragung des Gebrauchsmusters nur</w:t>
      </w:r>
    </w:p>
    <w:p>
      <w:pPr>
        <w:ind w:left="780"/>
      </w:pPr>
      <w:r>
        <w:t xml:space="preserve">a) für den Hinterleger,</w:t>
      </w:r>
    </w:p>
    <w:p>
      <w:pPr>
        <w:ind w:left="780"/>
      </w:pPr>
      <w:r>
        <w:t xml:space="preserve">b) für das Deutsche Patent- und Markenamt auf Anforderung oder</w:t>
      </w:r>
    </w:p>
    <w:p>
      <w:pPr>
        <w:ind w:left="780"/>
      </w:pPr>
      <w:r>
        <w:t xml:space="preserve">c) für den Anmelder oder einen sonstigen Dritten, wenn dieser aufgrund einer Entscheidung des Deutschen Patent- und Markenamts nach § 31 Abs. 1 Satz 1 des Patentgesetzes oder § 8 Abs. 5 Satz 2 des Gebrauchsmustergesetzes oder aufgrund der Entscheidung eines Gerichts zum Erhalt einer Probe berechtigt ist oder der Hinterleger in die Abgabe der Probe schriftlich eingewilligt hat;</w:t>
      </w:r>
    </w:p>
    <w:p>
      <w:pPr>
        <w:ind w:left="420"/>
      </w:pPr>
      <w:r>
        <w:t xml:space="preserve">2. von der Veröffentlichung des Offenlegungshinweises nach § 32 Abs. 5 des Patentgesetzes bis zur Erteilung des Patents für jedermann; auf Antrag des Hinterlegers wird der Zugang zu dem hinterlegten biologischen Material nur durch Herausgabe einer Probe an einen vom Antragsteller benannten unabhängigen Sachverständigen hergestellt;</w:t>
      </w:r>
    </w:p>
    <w:p>
      <w:pPr>
        <w:ind w:left="420"/>
      </w:pPr>
      <w:r>
        <w:t xml:space="preserve">3. nach der Erteilung des Patents oder eines ergänzenden Schutzzertifikats oder nach Eintragung des Gebrauchsmusters ungeachtet eines späteren Widerrufs oder einer Nichtigerklärung des Patents oder des ergänzenden Schutzzertifikats oder einer späteren Löschung des Gebrauchsmusters für jedermann.</w:t>
      </w:r>
    </w:p>
    <w:p>
      <w:r>
        <w:t xml:space="preserve">(2) Bei Zurückweisung oder Zurücknahme der Anmeldung wird der in Absatz 1 Nr. 1 Buchstabe c und Nr. 2 geregelte Zugang zu dem hinterlegten biologischen Material auf Antrag des Hinterlegers für die Dauer von 20 Jahren ab dem Tag der Anmeldung nur durch Herausgabe einer Probe an einen vom Antragsteller benannten unabhängigen Sachverständigen hergestellt.</w:t>
      </w:r>
    </w:p>
    <w:p>
      <w:r>
        <w:t xml:space="preserve">(3) Als Sachverständiger nach Absatz 1 Nr. 2 und Absatz 2 kann benannt werden</w:t>
      </w:r>
    </w:p>
    <w:p>
      <w:pPr>
        <w:ind w:left="420"/>
      </w:pPr>
      <w:r>
        <w:t xml:space="preserve">1. jede natürliche Person, auf die sich der Antragsteller und der Hinterleger geeinigt haben;</w:t>
      </w:r>
    </w:p>
    <w:p>
      <w:pPr>
        <w:ind w:left="420"/>
      </w:pPr>
      <w:r>
        <w:t xml:space="preserve">2. jede natürliche Person, die vom Präsidenten des Deutschen Patent- und Markenamts als Sachverständiger anerkannt ist.</w:t>
      </w:r>
    </w:p>
    <w:p>
      <w:r>
        <w:t xml:space="preserve">(4) Die Anträge des Hinterlegers nach Absatz 1 Nr. 2 und Absatz 2 sind beim Deutschen Patent- und Markenamt zu stellen und können nur bis zu dem Zeitpunkt eingereicht werden, zu dem die technischen Vorbereitungen für die Veröffentlichung des Offenlegungshinweises nach § 32 Abs. 5 des Patentgesetzes oder für die Eintragung des Gebrauchsmusters als abgeschlossen gelten.</w:t>
      </w:r>
    </w:p>
    <w:p>
      <w:r>
        <w:t xml:space="preserve">(5) Der Antrag auf Zugang zu biologischem Material ist unter Verwendung des hierfür herausgegebenen Formblatts beim Deutschen Patent- und Markenamt zu stellen. Das Deutsche Patent- und Markenamt bestätigt auf dem Formblatt, dass eine Patentanmeldung oder eine Gebrauchsmusteranmeldung eingereicht worden ist, die auf die Hinterlegung des biologischen Materials Bezug nimmt, und dass der Antragsteller oder der von ihm benannte Sachverständige Anspruch auf Herausgabe einer Probe dieses Materials hat. Der Antrag ist auch nach Erteilung des Patents oder des ergänzenden Schutzzertifikats oder nach Eintragung des Gebrauchsmusters beim Deutschen Patent- und Markenamt einzureichen.</w:t>
      </w:r>
    </w:p>
    <w:p>
      <w:r>
        <w:t xml:space="preserve">(6) Das Deutsche Patent- und Markenamt übermittelt der Hinterlegungsstelle und dem Anmelder oder Schutzrechtsinhaber und im Fall der Dritthinterlegung auch dem Hinterleger eine Kopie des Antrags mit der in Absatz 5 Satz 2 vorgesehenen Bestätigung.</w:t>
      </w:r>
    </w:p>
    <w:p>
      <w:r>
        <w:rPr>
          <w:color w:val="555555"/>
          <w:sz w:val="17"/>
        </w:rPr>
        <w:t xml:space="preserve">Zitiervorschlag: § 5 BioMatHintV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https://recht.nulegal.eu/gesetze/BioMatHintV/5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