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BioMatHintV — Freigabeerklärung</w:t>
      </w:r>
    </w:p>
    <w:p>
      <w:r>
        <w:rPr>
          <w:color w:val="555555"/>
          <w:sz w:val="18"/>
        </w:rPr>
        <w:t xml:space="preserve">Biomaterial-Hinterlegungsverordnung</w:t>
      </w:r>
    </w:p>
    <w:p>
      <w:r>
        <w:rPr>
          <w:color w:val="555555"/>
          <w:sz w:val="18"/>
        </w:rPr>
        <w:t xml:space="preserve">Stand: 10.06.2019 (konsolidierte Textfassung, kein amtliches Inkrafttretensdatum)</w:t>
      </w:r>
    </w:p>
    <w:p>
      <w:r>
        <w:t xml:space="preserve">(1) Der Anmelder hat das hinterlegte biologische Material der Hinterlegungsstelle ab dem Tag der Anmeldung zur Herausgabe von Proben nach § 5 für die in § 7 festgelegte Aufbewahrungsdauer durch Abgabe einer unwiderruflichen Erklärung vorbehaltlos zur Verfügung zu stellen. Im Fall einer Dritthinterlegung muss der Anmelder durch Vorlage von Urkunden nachweisen, dass das hinterlegte biologische Material vom Hinterleger nach Satz 1 zur Verfügung gestellt worden ist.</w:t>
      </w:r>
    </w:p>
    <w:p>
      <w:r>
        <w:t xml:space="preserve">(2) Der Anmelder hat sich gegenüber der Hinterlegungsstelle unwiderruflich zu verpflichten, eine nach § 9 erforderlich werdende erneute Hinterlegung vorzunehmen oder durch einen Dritten vornehmen zu lassen.</w:t>
      </w:r>
    </w:p>
    <w:p>
      <w:r>
        <w:rPr>
          <w:color w:val="555555"/>
          <w:sz w:val="17"/>
        </w:rPr>
        <w:t xml:space="preserve">Zitiervorschlag: § 4 BioMatHintV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https://recht.nulegal.eu/gesetze/BioMatHintV/4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