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BioMatHintV — Inkrafttreten</w:t>
      </w:r>
    </w:p>
    <w:p>
      <w:r>
        <w:rPr>
          <w:color w:val="555555"/>
          <w:sz w:val="18"/>
        </w:rPr>
        <w:t xml:space="preserve">Biomaterial-Hinterlegungsverordnung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28. Februar 2005 in Kraft.</w:t>
      </w:r>
    </w:p>
    <w:p>
      <w:r>
        <w:rPr>
          <w:color w:val="555555"/>
          <w:sz w:val="17"/>
        </w:rPr>
        <w:t xml:space="preserve">Zitiervorschlag: § 12 BioMatHintV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https://recht.nulegal.eu/gesetze/BioMatHintV/12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