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BioMatHintV — Übergangsregelung</w:t>
      </w:r>
    </w:p>
    <w:p>
      <w:r>
        <w:rPr>
          <w:color w:val="555555"/>
          <w:sz w:val="18"/>
        </w:rPr>
        <w:t xml:space="preserve">Biomaterial-Hinterlegungsverordnung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findet keine Anwendung auf Patent- oder Gebrauchsmusteranmeldungen, die vor ihrem Inkrafttreten eingereicht worden sind.</w:t>
      </w:r>
    </w:p>
    <w:p>
      <w:r>
        <w:rPr>
          <w:color w:val="555555"/>
          <w:sz w:val="17"/>
        </w:rPr>
        <w:t xml:space="preserve">Zitiervorschlag: § 11 BioMatHintV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https://recht.nulegal.eu/gesetze/BioMatHintV/11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