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BioAbfV — Zusätzliche Anforderungen bei der Aufbringung auf Grünlandflächen sowie Feldfutter- und Feldgemüseanbauflächen</w:t>
      </w:r>
    </w:p>
    <w:p>
      <w:r>
        <w:rPr>
          <w:color w:val="555555"/>
          <w:sz w:val="18"/>
        </w:rPr>
        <w:t xml:space="preserve">Bioabfallverordnung</w:t>
      </w:r>
    </w:p>
    <w:p>
      <w:r>
        <w:rPr>
          <w:color w:val="555555"/>
          <w:sz w:val="18"/>
        </w:rPr>
        <w:t xml:space="preserve">Stand: 10.06.2019 (konsolidierte Textfassung, kein amtliches Inkrafttretensdatum)</w:t>
      </w:r>
    </w:p>
    <w:p>
      <w:r>
        <w:t xml:space="preserve">(1) Auf Grünlandflächen und mehrschnittigen Feldfutterflächen dürfen nur diejenigen Bioabfälle und Gemische aufgebracht werden, die in Anhang 1 Nummer 1 Spalte 3 und Nummer 2 Spalte 3 mit einem Verweis auf diesen Satz aufgeführt sind. Im Übrigen dürfen Bioabfälle und Gemische auf Feldfutterflächen aufgebracht werden, wenn diese vor dem Anbau des Feldfutters aufgebracht und in den Boden eingearbeitet werden.</w:t>
      </w:r>
    </w:p>
    <w:p>
      <w:r>
        <w:t xml:space="preserve">(2) Auf Feldgemüseflächen dürfen Bioabfälle und Gemische aufgebracht werden, wenn sie vor dem Anbau des Feldgemüses aufgebracht und in den Boden eingearbeitet werden.</w:t>
      </w:r>
    </w:p>
    <w:p>
      <w:r>
        <w:t xml:space="preserve">(3) Bioabfälle und Gemische dürfen bei Aufbringung auf Grünlandflächen oder auf Feldfutterflächen keine Gegenstände enthalten, die bei der Aufnahme durch Haus- oder Nutztiere zu Verletzungen führen können.</w:t>
      </w:r>
    </w:p>
    <w:p>
      <w:r>
        <w:t xml:space="preserve">(4) Werden Bioabfälle tierischer Herkunft oder Gemische, die solche Bioabfälle enthalten, auf Grünlandflächen oder auf Feldfutterflächen aufgebracht, darf eine Beweidung durch Nutztiere oder eine Futtermittelgewinnung erst 21 Tage nach der Aufbringung erfolgen. Die für die Aufbringungsfläche zuständige Behörde kann den Zeitraum nach Satz 1 verlängern, sofern dies zur Vorbeugung einer Gefahr für die menschliche oder tierische Gesundheit erforderlich ist.</w:t>
      </w:r>
    </w:p>
    <w:p>
      <w:r>
        <w:rPr>
          <w:color w:val="555555"/>
          <w:sz w:val="17"/>
        </w:rPr>
        <w:t xml:space="preserve">Zitiervorschlag: § 7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