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BioAbfV — Ausnahmen für Kleinflächen</w:t>
      </w:r>
    </w:p>
    <w:p>
      <w:r>
        <w:rPr>
          <w:color w:val="555555"/>
          <w:sz w:val="18"/>
        </w:rPr>
        <w:t xml:space="preserve">Bioabfallverordnung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§ 9 Absatz 1 und 2, § 11 Absatz 2a Satz 2 und Absatz 3a Satz 6 gelten nicht, wenn unbehandelte oder behandelte Bioabfälle oder Gemische auf Flächen von Bewirtschaftern aufgebracht werden, die insgesamt nicht mehr als 1 Hektar landwirtschaftlich oder gärtnerisch genutzte Flächen bewirtschaften. § 11 Absatz 2a Satz 3 gilt nicht für den Bewirtschafter dieser Flächen. Die Sätze 1 und 2 gelten im Rahmen gärtnerischer oder landschaftsbaulicher Dienstleistungen durch einen Bioabfallbehandler, Gemischhersteller oder Zwischenabnehmer auf anderen als in Satz 1 genannten Flächen des Bewirtschafters mit der Maßgabe, dass die unbehandelten oder behandelten Bioabfälle oder Gemische auf zusammenhängende Flächen von jeweils nicht mehr als 1 Hektar aufgebracht werden.</w:t>
      </w:r>
    </w:p>
    <w:p>
      <w:r>
        <w:t xml:space="preserve">(2) § 11 Absatz 2a Satz 1 und 3 und Absatz 3a Satz 4 und 5 gilt nicht, wenn Bioabfallbehandler, Gemischhersteller oder Zwischenabnehmer im Rahmen gärtnerischer oder landschaftsbaulicher Dienstleistungen unbehandelte oder behandelte Bioabfälle oder Gemische, die auf zusammenhängende Flächen von jeweils nicht mehr als 1 Hektar des Bewirtschafters aufgebracht werden, an den Bewirtschafter abgeben oder im Auftrag des Bewirtschafters aufbringen. § 11 Absatz 2 Satz 1 und Absatz 3a Satz 2 gilt nicht für den Bioabfallbehandler oder den Gemischhersteller, der die gärtnerische oder landschaftsbauliche Dienstleistung erbringt. § 11 Absatz 2 Satz 4 und Absatz 3a Satz 3 gilt nicht für den Zwischenabnehmer, der die gärtnerische oder landschaftsbauliche Dienstleistung erbringt.</w:t>
      </w:r>
    </w:p>
    <w:p>
      <w:r>
        <w:t xml:space="preserve">(3) Die Ausnahmen für Kleinflächen nach den Absätzen 1 und 2 gelten nicht für forstwirtschaftliche Flächen.</w:t>
      </w:r>
    </w:p>
    <w:p>
      <w:r>
        <w:rPr>
          <w:color w:val="555555"/>
          <w:sz w:val="17"/>
        </w:rPr>
        <w:t xml:space="preserve">Zitiervorschlag: § 12 BioAbfV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https://recht.nulegal.eu/gesetze/BioAbfV/12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