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Bio-AHVV — Auszeichnung des Bio-Anteils</w:t>
      </w:r>
    </w:p>
    <w:p>
      <w:r>
        <w:rPr>
          <w:color w:val="555555"/>
          <w:sz w:val="18"/>
        </w:rPr>
        <w:t xml:space="preserve">Bio-Außer-Haus-Verpflegung-Verordnung</w:t>
      </w:r>
    </w:p>
    <w:p>
      <w:r>
        <w:rPr>
          <w:color w:val="555555"/>
          <w:sz w:val="18"/>
        </w:rPr>
        <w:t xml:space="preserve">Stand: 05.10.2023 (konsolidierte Textfassung, kein amtliches Inkrafttretensdatum)</w:t>
      </w:r>
    </w:p>
    <w:p>
      <w:r>
        <w:t xml:space="preserve">(1) Zusätzlich zur Kennzeichnung nach § 4 Absatz 1 darf ein Unternehmer für seine Betriebseinheiten deren jeweiligen Bio-Anteil nur auszeichnen, sofern dieser von der nach § 3 Absatz 1a des Öko-Landbaugesetzes zuständigen Kontrollstelle geprüft und zertifiziert wurde.</w:t>
      </w:r>
    </w:p>
    <w:p>
      <w:r>
        <w:t xml:space="preserve">(2) Für die Auszeichnung nach Absatz 1 darf ein Unternehmer nur das Kennzeichen nach Anlage 1 (AHV-Kennzeichen) verwenden, das für den eingesetzten Bio-Anteil die nach Satz 2 zutreffende Kategorie ausweist. Die Kategorien des Kennzeichens sind:</w:t>
      </w:r>
    </w:p>
    <w:p>
      <w:pPr>
        <w:ind w:left="420"/>
      </w:pPr>
      <w:r>
        <w:t xml:space="preserve">1. erste Kategorie bei einem Bio-Anteil von 20 bis 49 Prozent,</w:t>
      </w:r>
    </w:p>
    <w:p>
      <w:pPr>
        <w:ind w:left="420"/>
      </w:pPr>
      <w:r>
        <w:t xml:space="preserve">2. zweite Kategorie bei einem Bio-Anteil von 50 bis 89 Prozent und</w:t>
      </w:r>
    </w:p>
    <w:p>
      <w:pPr>
        <w:ind w:left="420"/>
      </w:pPr>
      <w:r>
        <w:t xml:space="preserve">3. dritte Kategorie bei einem Bio-Anteil von 90 bis 100 Prozent.</w:t>
      </w:r>
    </w:p>
    <w:p>
      <w:r>
        <w:t xml:space="preserve">Der Bio-Anteil ist kaufmännisch auf ganze Zahlen zu runden.</w:t>
      </w:r>
    </w:p>
    <w:p>
      <w:r>
        <w:t xml:space="preserve">(3) Das AHV-Kennzeichen hat sich nach der Maßgabe des Musters und der technischen Beschreibung der Anlage 1 zu richten. Das Weglassen oder Hinzufügen von Bestandteilen oder sonstige Änderungen der Kennzeichnung sind verboten.</w:t>
      </w:r>
    </w:p>
    <w:p>
      <w:r>
        <w:t xml:space="preserve">(4) Es ist verboten,</w:t>
      </w:r>
    </w:p>
    <w:p>
      <w:pPr>
        <w:ind w:left="420"/>
      </w:pPr>
      <w:r>
        <w:t xml:space="preserve">1. eine Kategorie des Kennzeichens nach Absatz 2 Satz 2 zu verwenden, die einen größeren Bio-Anteil als den tatsächlichen Bio-Anteil auszeichnet oder</w:t>
      </w:r>
    </w:p>
    <w:p>
      <w:pPr>
        <w:ind w:left="420"/>
      </w:pPr>
      <w:r>
        <w:t xml:space="preserve">2. eine dem AHV-Kennzeichen nachgemachte Kennzeichnung, die zur Irreführung über den Bio-Anteil geeignet ist, zu verwenden.</w:t>
      </w:r>
    </w:p>
    <w:p>
      <w:r>
        <w:rPr>
          <w:color w:val="555555"/>
          <w:sz w:val="17"/>
        </w:rPr>
        <w:t xml:space="preserve">Zitiervorschlag: § 8 Bio-AHVV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https://recht.nulegal.eu/gesetze/Bio-AHVV/8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