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Bio-AHVV — Nutzungsmöglichkeit von Kennzeichen und Logos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Das Öko-Kennzeichen nach § 1 Absatz 1 des Öko-Kennzeichengesetzes darf zur Kennzeichnung von ökologischen/biologischen Zutaten und Erzeugnissen genutzt werden.</w:t>
      </w:r>
    </w:p>
    <w:p>
      <w:r>
        <w:t xml:space="preserve">(2) Länderkennzeichen, Verbandslogos und sonstige private Kennzeichen mit Bezug auf die ökologische/biologische Produktion dürfen</w:t>
      </w:r>
    </w:p>
    <w:p>
      <w:pPr>
        <w:ind w:left="420"/>
      </w:pPr>
      <w:r>
        <w:t xml:space="preserve">1. zur Kennzeichnung von Zutaten und Erzeugnissen genutzt werden, welche die Voraussetzungen des jeweiligen Kennzeichens oder Logos erfüllen, und</w:t>
      </w:r>
    </w:p>
    <w:p>
      <w:pPr>
        <w:ind w:left="420"/>
      </w:pPr>
      <w:r>
        <w:t xml:space="preserve">2. darüber hinaus genutzt werden, wenn unabhängig von einer Zutat oder einem Erzeugnis der ökologische Landbau beworben wird, solange nicht der Eindruck erweckt wird, dass der Herstellungsprozess im Unternehmen der Außer-Haus-Verpflegung nach den Vorgaben der Verordnung (EU) 2018/848 erfolgt.</w:t>
      </w:r>
    </w:p>
    <w:p>
      <w:r>
        <w:rPr>
          <w:color w:val="555555"/>
          <w:sz w:val="17"/>
        </w:rPr>
        <w:t xml:space="preserve">Zitiervorschlag: § 7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