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Bio-AHVV — Zutatenübersicht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Ergänzend zur Kennzeichnung auf Speiseplänen, Tafeln, Schriftstücken oder anderen Übersichten, auch in elektronischer Form, hat ein Unternehmer eine tagesaktuelle Bio-Zutatenübersicht in einer für Gäste leicht zugänglichen Form bereitzuhalten.</w:t>
      </w:r>
    </w:p>
    <w:p>
      <w:r>
        <w:t xml:space="preserve">(2) Abweichend von Absatz 1 darf ein Unternehmer eine Nicht-Bio-Zutatenübersicht bereithalten, die keine ökologischen/biologischen Zutaten und Erzeugnisse enthalten darf.</w:t>
      </w:r>
    </w:p>
    <w:p>
      <w:r>
        <w:t xml:space="preserve">(3) Soweit es sich bei Zutaten um zusammengesetzte Zutaten im Sinne des Artikels 2 Absatz 2 Buchstabe h der Verordnung (EU) 1169/2011 handelt, ist eine gesonderte Nennung der Bestandteile der Zutat in der Zutatenübersicht nicht erforderlich.</w:t>
      </w:r>
    </w:p>
    <w:p>
      <w:r>
        <w:rPr>
          <w:color w:val="555555"/>
          <w:sz w:val="17"/>
        </w:rPr>
        <w:t xml:space="preserve">Zitiervorschlag: § 6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