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Bio-AHVV — Voraussetzungen für die Kennzeichnung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Ein Unternehmer darf Zutaten und Erzeugnisse unbeschadet der weiteren Anforderungen nach Absatz 2 Satz 1 nur dann</w:t>
      </w:r>
    </w:p>
    <w:p>
      <w:pPr>
        <w:ind w:left="420"/>
      </w:pPr>
      <w:r>
        <w:t xml:space="preserve">1. als ökologisch/biologisch kennzeichnen, wenn er diese Zutaten und Erzeugnisse</w:t>
      </w:r>
    </w:p>
    <w:p>
      <w:pPr>
        <w:ind w:left="780"/>
      </w:pPr>
      <w:r>
        <w:t xml:space="preserve">a) als nach Artikel 30 Absatz 1 der Verordnung (EU) 2018/848 gekennzeichnete Ware bezogen hat oder</w:t>
      </w:r>
    </w:p>
    <w:p>
      <w:pPr>
        <w:ind w:left="780"/>
      </w:pPr>
      <w:r>
        <w:t xml:space="preserve">b) im eigenen landwirtschaftlichen Unternehmen, das nach Artikel 35 Absatz 1 der Verordnung (EU) 2018/848 zertifiziert ist, ökologisch/biologisch, ausgenommen während des Umstellungszeitraums nach Artikel 10 der Verordnung (EU) 2018/848, produziert hat,</w:t>
      </w:r>
    </w:p>
    <w:p>
      <w:pPr>
        <w:ind w:left="420"/>
      </w:pPr>
      <w:r>
        <w:t xml:space="preserve">2. als Umstellungsprodukt kennzeichnen, wenn er diese Zutaten und Erzeugnisse</w:t>
      </w:r>
    </w:p>
    <w:p>
      <w:pPr>
        <w:ind w:left="780"/>
      </w:pPr>
      <w:r>
        <w:t xml:space="preserve">a) als nach Artikel 30 Absatz 3 Unterabsatz 2 der Verordnung (EU) 2018/848 gekennzeichnete Ware bezogen hat oder</w:t>
      </w:r>
    </w:p>
    <w:p>
      <w:pPr>
        <w:ind w:left="780"/>
      </w:pPr>
      <w:r>
        <w:t xml:space="preserve">b) im eigenen landwirtschaftlichen Unternehmen, das nach Artikel 35 Absatz 1 der Verordnung (EU) 2018/848 zertifiziert ist, ökologisch/biologisch während des Umstellungszeitraums nach Artikel 10 der Verordnung (EU) 2018/848 produziert hat.</w:t>
      </w:r>
    </w:p>
    <w:p>
      <w:r>
        <w:t xml:space="preserve">(2) Ein Unternehmer darf eine Zutat oder ein Erzeugnis nur dann mit Bezug auf die ökologische/biologische Produktion kennzeichnen, wenn er die gleiche Zutat oder das gleiche Erzeugnis aus nichtökologischer/nichtbiologischer Produktion nicht am selben Tag in derselben oder für dieselbe Betriebseinheit</w:t>
      </w:r>
    </w:p>
    <w:p>
      <w:pPr>
        <w:ind w:left="420"/>
      </w:pPr>
      <w:r>
        <w:t xml:space="preserve">1. verwendet oder verwenden lässt und</w:t>
      </w:r>
    </w:p>
    <w:p>
      <w:pPr>
        <w:ind w:left="420"/>
      </w:pPr>
      <w:r>
        <w:t xml:space="preserve">2. lagert oder lagern lässt.</w:t>
      </w:r>
    </w:p>
    <w:p>
      <w:r>
        <w:t xml:space="preserve">Satz 1 Nummer 2 gilt nicht, solange der Unternehmer die zusätzlichen Aufzeichnungspflichten nach § 11 Absatz 2 erfüllt.</w:t>
      </w:r>
    </w:p>
    <w:p>
      <w:r>
        <w:rPr>
          <w:color w:val="555555"/>
          <w:sz w:val="17"/>
        </w:rPr>
        <w:t xml:space="preserve">Zitiervorschlag: § 4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