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Bio-AHVV — Feststellung von Verstößen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Sofern ein Verstoß gegen diese Verordnung festgestellt wird, hat die Kontrollstelle im Rahmen der ihr durch § 3 Absatz 1a des Öko-Landbaugesetzes zugewiesenen Befugnisse</w:t>
      </w:r>
    </w:p>
    <w:p>
      <w:pPr>
        <w:ind w:left="420"/>
      </w:pPr>
      <w:r>
        <w:t xml:space="preserve">1. dem Unternehmer eine angemessene Frist zur Beseitigung andauernder Verstöße zu setzen sowie</w:t>
      </w:r>
    </w:p>
    <w:p>
      <w:pPr>
        <w:ind w:left="420"/>
      </w:pPr>
      <w:r>
        <w:t xml:space="preserve">2. geeignete Maßnahmen zu verhängen, um zu gewährleisten, dass der Unternehmer den Verstoß beendet und dass er erneute Verstöße dieser Art verhindert.</w:t>
      </w:r>
    </w:p>
    <w:p>
      <w:r>
        <w:t xml:space="preserve">Darüber hinaus kann die Kontrollstelle Nachkontrollen durchführen.</w:t>
      </w:r>
    </w:p>
    <w:p>
      <w:r>
        <w:t xml:space="preserve">(2) Erhält die zuständige Behörde, insbesondere aufgrund einer Unterrichtung einer Kontrollstelle nach § 5 Absatz 3 Satz 2 des Öko-Landbau-Gesetzes, davon Kenntnis, dass ein Unternehmer Zutaten oder Erzeugnisse unzutreffend mit Bezug auf die ökologische/biologische Produktion gekennzeichnet hat oder eine unzutreffende Auszeichnungskategorie nutzt und dieser Verstoß nicht nur geringfügig ist oder der Unternehmer den Maßnahmen der Kontrollstelle nach Absatz 1 nicht Folge leistet, kann sie</w:t>
      </w:r>
    </w:p>
    <w:p>
      <w:pPr>
        <w:ind w:left="420"/>
      </w:pPr>
      <w:r>
        <w:t xml:space="preserve">1. dem Unternehmer die Kennzeichnung von Zutaten und Erzeugnissen mit Bezug auf die ökologische/biologische Produktion für einen bestimmten Zeitraum ganz oder teilweise untersagen und</w:t>
      </w:r>
    </w:p>
    <w:p>
      <w:pPr>
        <w:ind w:left="420"/>
      </w:pPr>
      <w:r>
        <w:t xml:space="preserve">2. das Zertifikat nach § 13 Absatz 3 oder nach § 14 Absatz 1 Satz 4 befristet aussetzen oder aufheben.</w:t>
      </w:r>
    </w:p>
    <w:p>
      <w:r>
        <w:t xml:space="preserve">(3) Über die Nachkontrolle hat die Kontrollstelle einen Kontrollbericht nach Maßgabe des § 15 zu erstellen. Dieser ist der zuständigen Behörde auf deren Verlangen zu übermitteln.</w:t>
      </w:r>
    </w:p>
    <w:p>
      <w:r>
        <w:t xml:space="preserve">(4) Die Nachkontrolle ersetzt nicht die nächste jährliche Kontrolle nach § 13 Absatz 2.</w:t>
      </w:r>
    </w:p>
    <w:p>
      <w:r>
        <w:rPr>
          <w:color w:val="555555"/>
          <w:sz w:val="17"/>
        </w:rPr>
        <w:t xml:space="preserve">Zitiervorschlag: § 17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